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Vendor Procurement &amp; Technology Invoices Batch</w:t>
      </w:r>
    </w:p>
    <w:p>
      <w:r>
        <w:rPr>
          <w:b/>
        </w:rPr>
        <w:t>Department: Finance | Classification: Internal</w:t>
        <w:br/>
      </w:r>
    </w:p>
    <w:p>
      <w:pPr>
        <w:pStyle w:val="Heading2"/>
      </w:pPr>
      <w:r>
        <w:t>GLOBAL PROCUREMENT &amp; ACCOUNTS PAYABLE</w:t>
      </w:r>
    </w:p>
    <w:p>
      <w:r>
        <w:t>Document Type: Vendor Batch Requisition &amp; Payment Approval</w:t>
      </w:r>
    </w:p>
    <w:p>
      <w:r>
        <w:t>Audit Cycle: Q4 Corporate Review</w:t>
      </w:r>
    </w:p>
    <w:p>
      <w:pPr>
        <w:pStyle w:val="Heading2"/>
      </w:pPr>
      <w:r>
        <w:t>1. BATCH OVERVIEW</w:t>
      </w:r>
    </w:p>
    <w:p>
      <w:r>
        <w:t>This batch contains vendor invoices submitted for dual-custody approval before wire release. Total batch obligation is $1,425,800.00 across 4 tier-1 suppliers.</w:t>
      </w:r>
    </w:p>
    <w:p>
      <w:pPr>
        <w:pStyle w:val="Heading2"/>
      </w:pPr>
      <w:r>
        <w:t>2. INVOICE LINE ITEMS</w:t>
      </w:r>
    </w:p>
    <w:p>
      <w:r>
        <w:t>- Vendor: Databricks Cloud Analytics</w:t>
      </w:r>
    </w:p>
    <w:p>
      <w:r>
        <w:t xml:space="preserve">  Invoice Ref: DBX-2026-9812</w:t>
      </w:r>
    </w:p>
    <w:p>
      <w:r>
        <w:t xml:space="preserve">  Amount: $620,000.00</w:t>
      </w:r>
    </w:p>
    <w:p>
      <w:r>
        <w:t xml:space="preserve">  Description: Annual Lakehouse compute nodes and serverless SQL warehouse credits.</w:t>
      </w:r>
    </w:p>
    <w:p>
      <w:r>
        <w:t xml:space="preserve">  Approval Status: Requires Engineering VP and Finance Director sign-off.</w:t>
      </w:r>
    </w:p>
    <w:p>
      <w:r>
        <w:t>- Vendor: Snowflake Enterprise Computing</w:t>
        <w:br/>
        <w:t xml:space="preserve">  Invoice Ref: SNOW-4421-B</w:t>
        <w:br/>
        <w:t xml:space="preserve">  Amount: $415,000.00</w:t>
        <w:br/>
        <w:t xml:space="preserve">  Description: Cross-region data sharing and elastic storage replication.</w:t>
        <w:br/>
        <w:t xml:space="preserve">  Approval Status: Verified against master agreement terms.</w:t>
      </w:r>
    </w:p>
    <w:p>
      <w:r>
        <w:t>- Vendor: CrowdStrike Falcon Cybersecurity</w:t>
        <w:br/>
        <w:t xml:space="preserve">  Invoice Ref: CS-SEC-8801</w:t>
        <w:br/>
        <w:t xml:space="preserve">  Amount: $240,800.00</w:t>
        <w:br/>
        <w:t xml:space="preserve">  Description: 12,000 Endpoint EDR agents and managed threat hunting coverage.</w:t>
      </w:r>
    </w:p>
    <w:p>
      <w:r>
        <w:t>- Vendor: GitHub Enterprise Cloud</w:t>
        <w:br/>
        <w:t xml:space="preserve">  Invoice Ref: GH-ORG-3109</w:t>
        <w:br/>
        <w:t xml:space="preserve">  Amount: $150,000.00</w:t>
        <w:br/>
        <w:t xml:space="preserve">  Description: Copilot Business licenses and Actions CI/CD runner minutes.</w:t>
      </w:r>
    </w:p>
    <w:p>
      <w:pPr>
        <w:pStyle w:val="Heading2"/>
      </w:pPr>
      <w:r>
        <w:t>3. PAYMENT DIRECTIVES</w:t>
      </w:r>
    </w:p>
    <w:p>
      <w:r>
        <w:t>All disbursements must execute via Automated Clearing House (ACH) or Fedwire with cryptographic token verification. No checks or single-party transfers authorized.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