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THIRD-PARTY VENDOR SECURITY &amp; RISK AUDIT QUESTIONNAIRE</w:t>
      </w:r>
    </w:p>
    <w:p>
      <w:r>
        <w:t>Enterprise procurement requires all technology vendors with access to internal network perimeters or customer data to complete annual cyber hygiene assessments.</w:t>
      </w:r>
    </w:p>
    <w:p>
      <w:r>
        <w:t>1. CERTIFICATION CRITERIA: Vendors must furnish an independent SOC 2 Type II audit report less than twelve (12) months old covering Security, Availability, and Confidentiality trust principles.</w:t>
      </w:r>
    </w:p>
    <w:p>
      <w:r>
        <w:t>2. ENCRYPTION AT REST &amp; IN TRANSIT: All data stores holding client data must utilize AES-256 encryption. Network transit must strictly use TLS 1.3.</w:t>
      </w:r>
    </w:p>
    <w:p>
      <w:r>
        <w:t>3. PENETRATION TESTING: Annual third-party penetration testing reports must be submitted, with zero unresolved High or Critical findings.</w:t>
      </w:r>
    </w:p>
    <w:p>
      <w:r>
        <w:t>4. BREACH NOTIFICATION SLA: In the event of a suspected or confirmed security breach, vendor must notify Enterprise Security Operations within twenty-four (24)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