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Third-Party Vendor Cybersecurity Risk Assessment</w:t>
      </w:r>
    </w:p>
    <w:p>
      <w:r>
        <w:rPr>
          <w:b/>
        </w:rPr>
        <w:t>Department: Security | Classification: Internal</w:t>
        <w:br/>
      </w:r>
    </w:p>
    <w:p>
      <w:pPr>
        <w:pStyle w:val="Heading2"/>
      </w:pPr>
      <w:r>
        <w:t>CHIEF INFORMATION SECURITY OFFICER (CISO) DIRECTIVE</w:t>
      </w:r>
    </w:p>
    <w:p>
      <w:r>
        <w:t>Topic: Third-Party Vendor Security Evaluation Matrix</w:t>
      </w:r>
    </w:p>
    <w:p>
      <w:r>
        <w:t>Standard: NIST SP 800-161 Supply Chain Risk Management</w:t>
      </w:r>
    </w:p>
    <w:p>
      <w:pPr>
        <w:pStyle w:val="Heading2"/>
      </w:pPr>
      <w:r>
        <w:t>1. EVALUATION CRITERIA</w:t>
      </w:r>
    </w:p>
    <w:p>
      <w:r>
        <w:t>All external cloud and software vendors with access to company data must achieve a minimum security score of 85/100 across the following categories:</w:t>
      </w:r>
    </w:p>
    <w:p>
      <w:r>
        <w:t>- Data Encryption: AES-256 at rest, TLS 1.3 in transit.</w:t>
      </w:r>
    </w:p>
    <w:p>
      <w:r>
        <w:t>- Disaster Recovery: RPO &lt; 1 hour, RTO &lt; 4 hours.</w:t>
      </w:r>
    </w:p>
    <w:p>
      <w:r>
        <w:t>- Personnel Screening: Mandatory background checks for all infrastructure engineers.</w:t>
      </w:r>
    </w:p>
    <w:p>
      <w:r>
        <w:t>- Bug Bounty Program: Active vulnerability disclosure program with external researcher triage.</w:t>
      </w:r>
    </w:p>
    <w:p>
      <w:pPr>
        <w:pStyle w:val="Heading2"/>
      </w:pPr>
      <w:r>
        <w:t>2. VENDOR RISK TIERS</w:t>
      </w:r>
    </w:p>
    <w:p>
      <w:r>
        <w:t>- Tier 1 (High Risk): Cloud hosting, identity providers, database backends. Requires annual full penetration test review.</w:t>
      </w:r>
    </w:p>
    <w:p>
      <w:r>
        <w:t>- Tier 2 (Medium Risk): Customer support ticketing, analytics tools. Requires quarterly questionnaire renewal.</w:t>
      </w:r>
    </w:p>
    <w:p>
      <w:r>
        <w:t>- Tier 3 (Low Risk): General office collaboration software without access to production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