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SITE RELIABILITY ENGINEERING - INCIDENT RESPONSE PLAYBOOK</w:t>
      </w:r>
    </w:p>
    <w:p>
      <w:r>
        <w:t>This playbook governs operational incident classification, war room protocols, and post-mortem review standards.</w:t>
      </w:r>
    </w:p>
    <w:p>
      <w:r>
        <w:t>1. INCIDENT CLASSIFICATION: Severity-1 indicates customer-facing downtime or data integrity risk. Severity-2 indicates degraded non-critical services. Severity-3 indicates internal tool disruption.</w:t>
      </w:r>
    </w:p>
    <w:p>
      <w:r>
        <w:t>2. WAR ROOM PROCEDURES: Severity-1 outages require an automated incident war room bridge within 5 minutes. The Incident Commander (IC) retains exclusive authority over rollback and communication directives.</w:t>
      </w:r>
    </w:p>
    <w:p>
      <w:r>
        <w:t>3. ROLLBACK &amp; DEPLOYMENT LOCK: When latency exceeds P99 SLOs (&gt;350ms) for consecutive 3 minutes, deployment pipelines automatically freeze. On-call engineers must follow the standard rollback pipeline checklist.</w:t>
      </w:r>
    </w:p>
    <w:p>
      <w:r>
        <w:t>4. BLAMELESS POST-MORTEM: Root Cause Analysis (RCA) documents must be drafted within 48 hours and reviewed in bi-weekly guild retrospectives.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