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ENTERPRISE EMPLOYEE ONBOARDING &amp; CULTURE HANDBOOK</w:t>
      </w:r>
    </w:p>
    <w:p>
      <w:r>
        <w:t>Welcome to Enterprise Corporation. This handbook outlines company standards, fringe benefits, compensation structures, and professional development opportunities.</w:t>
      </w:r>
    </w:p>
    <w:p>
      <w:r>
        <w:t>1. PROBATIONARY TIMELINE: All new full-time hires undergo a 90-day introductory review period. Regular performance syncs occur at 30, 60, and 90 days with department managers.</w:t>
      </w:r>
    </w:p>
    <w:p>
      <w:r>
        <w:t>2. HEALTH &amp; WELLNESS BENEFITS: Medical, dental, and vision insurance coverage commences on the first calendar day of the month following the hire date. The employer covers 85% of employee premiums.</w:t>
      </w:r>
    </w:p>
    <w:p>
      <w:r>
        <w:t>3. LEARNING &amp; CONTINUING EDUCATION: Each team member is eligible for an annual professional development stipend of $2,500 for certified coursework, books, and industry conferences.</w:t>
      </w:r>
    </w:p>
    <w:p>
      <w:r>
        <w:t>4. GRIEVANCE REPORTING: Open-door communication is encouraged. Confidential human resources mediation is accessible anytime via hr-escalations@enterprise.com.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