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AND PROPRIETARY INFORMATION AGREEMENT</w:t>
      </w:r>
    </w:p>
    <w:p>
      <w:r>
        <w:t>This Mutual Non-Disclosure Agreement ('Agreement') is entered into by and between Enterprise Corporation and Participating Partner.</w:t>
      </w:r>
    </w:p>
    <w:p>
      <w:r>
        <w:t>1. DEFINITION OF CONFIDENTIAL INFORMATION: Confidential Information includes all non-public technical, financial, operational, product design, software source code, customer identities, and business strategies disclosed by either party directly or indirectly.</w:t>
      </w:r>
    </w:p>
    <w:p>
      <w:r>
        <w:t>2. STANDARD OF CARE: The Recipient party agrees to protect disclosed Confidential Information with the same degree of care it exercises regarding its own confidential assets of similar importance, but in no case less than reasonable care.</w:t>
      </w:r>
    </w:p>
    <w:p>
      <w:r>
        <w:t>3. TERM &amp; SURVIVAL: This obligation of confidentiality shall remain binding for three (3) years from the date of final disclosure, preserving all trade secret protections indefinitely.</w:t>
      </w:r>
    </w:p>
    <w:p>
      <w:r>
        <w:t>4. GOVERNING LAW: This Agreement shall be construed in accordance with the substantive laws of the State of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