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LABORATORY ASSIGNMENT №2</w:t>
        <w:br/>
        <w:t>TASK 1: HOUSE PRICE PREDICTION</w:t>
      </w:r>
    </w:p>
    <w:p>
      <w:pPr>
        <w:jc w:val="center"/>
      </w:pPr>
      <w:r>
        <w:rPr>
          <w:i/>
        </w:rPr>
        <w:t>Students: Kazbek Assanbek, Yerserik</w:t>
        <w:br/>
        <w:t>Group: IT2-2302</w:t>
      </w:r>
    </w:p>
    <w:p>
      <w:pPr>
        <w:pStyle w:val="Heading1"/>
      </w:pPr>
      <w:r>
        <w:t>1. Problem Description</w:t>
      </w:r>
    </w:p>
    <w:p>
      <w:r>
        <w:t>The goal is to predict a continuous house-price target from district-level housing characteristics. Multiple Linear Regression is required because it estimates the target from several predictors simultaneously.</w:t>
      </w:r>
    </w:p>
    <w:p>
      <w:pPr>
        <w:pStyle w:val="Heading1"/>
      </w:pPr>
      <w:r>
        <w:t>2. Input and Output</w:t>
      </w:r>
    </w:p>
    <w:p>
      <w:r>
        <w:t>Inputs are longitude, latitude, housing median age, total rooms, total bedrooms, population, households, median income, and ocean proximity. The output is median_house_value, the median house value for a census district, measured in US dollars.</w:t>
      </w:r>
    </w:p>
    <w:p>
      <w:pPr>
        <w:pStyle w:val="Heading1"/>
      </w:pPr>
      <w:r>
        <w:t>3. Dataset</w:t>
      </w:r>
    </w:p>
    <w:p>
      <w:r>
        <w:t>Source: California Housing Prices — Kaggle — Cam Nugent (https://www.kaggle.com/datasets/camnugent/california-housing-prices). The included file is the CSV housing.csv version, not sklearn's fetch_california_housing object. Each row represents one California census district. The dataset contains 20,640 rows and 10 columns (9 predictors plus target). Missing values: 207. Numerical features were median-imputed in the training pipeline; ocean_proximity was one-hot encoded. Keeping the CSV with the submission makes the experiment reproducible.</w:t>
      </w:r>
    </w:p>
    <w:p>
      <w:r>
        <w:t>The target mean is $206855.82 and the target standard deviation is $115395.62. Median income has a mean of 3.87, while median house value ranges from $14999 to $500001.</w:t>
      </w:r>
    </w:p>
    <w:p>
      <w:pPr>
        <w:pStyle w:val="Heading1"/>
      </w:pPr>
      <w:r>
        <w:t>4. Multiple Linear Regression</w:t>
      </w:r>
    </w:p>
    <w:p>
      <w:r>
        <w:t>The model fits one linear equation with an intercept and one coefficient for each transformed feature. Categorical ocean-proximity values become binary indicator variables with drop-first encoding. The dropped/reference category is &lt;1H OCEAN; retained dummy coefficients are conditional differences relative to it. The fitted model was sklearn.linear_model.LinearRegression.</w:t>
      </w:r>
    </w:p>
    <w:p>
      <w:pPr>
        <w:pStyle w:val="Heading1"/>
      </w:pPr>
      <w:r>
        <w:t>5. Mathematical Formula</w:t>
      </w:r>
    </w:p>
    <w:p>
      <w:r>
        <w:t>ŷ = β₀ + β₁x₁ + β₂x₂ + ... + βₚxₚ. Here ŷ is predicted price, β₀ is the intercept, βⱼ is a regression coefficient, and xⱼ is an input feature.</w:t>
      </w:r>
    </w:p>
    <w:p>
      <w:pPr>
        <w:pStyle w:val="Heading1"/>
      </w:pPr>
      <w:r>
        <w:t>6. Probabilistic Intuition and Assumptions</w:t>
      </w:r>
    </w:p>
    <w:p>
      <w:r>
        <w:t>The model can be written y = Xβ + ε. Under the classical Gaussian interpretation, ε ~ N(0, σ²). We assume approximate linearity, independent errors, approximately constant error variance, and no severe multicollinearity. Normal residuals are mainly relevant to statistical inference; prediction does not require perfect normality.</w:t>
      </w:r>
    </w:p>
    <w:p>
      <w:pPr>
        <w:pStyle w:val="Heading1"/>
      </w:pPr>
      <w:r>
        <w:t>7. Loss Function — Mean Squared Error</w:t>
      </w:r>
    </w:p>
    <w:p>
      <w:r>
        <w:t>MSE = (1/n) Σ(yᵢ − ŷᵢ)². Training minimizes this loss. Squaring means that large errors receive disproportionately larger penalties.</w:t>
      </w:r>
    </w:p>
    <w:p>
      <w:pPr>
        <w:pStyle w:val="Heading1"/>
      </w:pPr>
      <w:r>
        <w:t>8. Regression Coefficients</w:t>
      </w:r>
    </w:p>
    <w:p>
      <w:r>
        <w:t>A numeric coefficient estimates the expected change in model prediction for a one-unit increase in that feature, holding other inputs fixed. Ocean-proximity dummy coefficients are conditional differences relative to the omitted reference category &lt;1H OCEAN. These are model associations, not proof of causation. The rare ISLAND coefficient should be interpreted cautiously because its estimate may be less stable.</w:t>
      </w:r>
    </w:p>
    <w:tbl>
      <w:tblPr>
        <w:tblStyle w:val="LightShading-Accent1"/>
        <w:tblW w:type="auto" w:w="0"/>
        <w:jc w:val="center"/>
        <w:tblLook w:firstColumn="1" w:firstRow="1" w:lastColumn="0" w:lastRow="0" w:noHBand="0" w:noVBand="1" w:val="04A0"/>
      </w:tblPr>
      <w:tblGrid>
        <w:gridCol w:w="4824"/>
        <w:gridCol w:w="4824"/>
      </w:tblGrid>
      <w:tr>
        <w:tc>
          <w:tcPr>
            <w:tcW w:type="dxa" w:w="4824"/>
          </w:tcPr>
          <w:p>
            <w:r>
              <w:t>Feature</w:t>
            </w:r>
          </w:p>
        </w:tc>
        <w:tc>
          <w:tcPr>
            <w:tcW w:type="dxa" w:w="4824"/>
          </w:tcPr>
          <w:p>
            <w:r>
              <w:t>Coefficient</w:t>
            </w:r>
          </w:p>
        </w:tc>
      </w:tr>
      <w:tr>
        <w:tc>
          <w:tcPr>
            <w:tcW w:type="dxa" w:w="4824"/>
          </w:tcPr>
          <w:p>
            <w:r>
              <w:t>cat__ocean_proximity_ISLAND</w:t>
            </w:r>
          </w:p>
        </w:tc>
        <w:tc>
          <w:tcPr>
            <w:tcW w:type="dxa" w:w="4824"/>
          </w:tcPr>
          <w:p>
            <w:r>
              <w:t>136,125.07</w:t>
            </w:r>
          </w:p>
        </w:tc>
      </w:tr>
      <w:tr>
        <w:tc>
          <w:tcPr>
            <w:tcW w:type="dxa" w:w="4824"/>
          </w:tcPr>
          <w:p>
            <w:r>
              <w:t>cat__ocean_proximity_INLAND</w:t>
            </w:r>
          </w:p>
        </w:tc>
        <w:tc>
          <w:tcPr>
            <w:tcW w:type="dxa" w:w="4824"/>
          </w:tcPr>
          <w:p>
            <w:r>
              <w:t>-39,786.66</w:t>
            </w:r>
          </w:p>
        </w:tc>
      </w:tr>
      <w:tr>
        <w:tc>
          <w:tcPr>
            <w:tcW w:type="dxa" w:w="4824"/>
          </w:tcPr>
          <w:p>
            <w:r>
              <w:t>num__median_income</w:t>
            </w:r>
          </w:p>
        </w:tc>
        <w:tc>
          <w:tcPr>
            <w:tcW w:type="dxa" w:w="4824"/>
          </w:tcPr>
          <w:p>
            <w:r>
              <w:t>39,473.98</w:t>
            </w:r>
          </w:p>
        </w:tc>
      </w:tr>
      <w:tr>
        <w:tc>
          <w:tcPr>
            <w:tcW w:type="dxa" w:w="4824"/>
          </w:tcPr>
          <w:p>
            <w:r>
              <w:t>num__longitude</w:t>
            </w:r>
          </w:p>
        </w:tc>
        <w:tc>
          <w:tcPr>
            <w:tcW w:type="dxa" w:w="4824"/>
          </w:tcPr>
          <w:p>
            <w:r>
              <w:t>-26,838.27</w:t>
            </w:r>
          </w:p>
        </w:tc>
      </w:tr>
      <w:tr>
        <w:tc>
          <w:tcPr>
            <w:tcW w:type="dxa" w:w="4824"/>
          </w:tcPr>
          <w:p>
            <w:r>
              <w:t>num__latitude</w:t>
            </w:r>
          </w:p>
        </w:tc>
        <w:tc>
          <w:tcPr>
            <w:tcW w:type="dxa" w:w="4824"/>
          </w:tcPr>
          <w:p>
            <w:r>
              <w:t>-25,468.35</w:t>
            </w:r>
          </w:p>
        </w:tc>
      </w:tr>
      <w:tr>
        <w:tc>
          <w:tcPr>
            <w:tcW w:type="dxa" w:w="4824"/>
          </w:tcPr>
          <w:p>
            <w:r>
              <w:t>cat__ocean_proximity_NEAR BAY</w:t>
            </w:r>
          </w:p>
        </w:tc>
        <w:tc>
          <w:tcPr>
            <w:tcW w:type="dxa" w:w="4824"/>
          </w:tcPr>
          <w:p>
            <w:r>
              <w:t>-5,136.64</w:t>
            </w:r>
          </w:p>
        </w:tc>
      </w:tr>
      <w:tr>
        <w:tc>
          <w:tcPr>
            <w:tcW w:type="dxa" w:w="4824"/>
          </w:tcPr>
          <w:p>
            <w:r>
              <w:t>cat__ocean_proximity_NEAR OCEAN</w:t>
            </w:r>
          </w:p>
        </w:tc>
        <w:tc>
          <w:tcPr>
            <w:tcW w:type="dxa" w:w="4824"/>
          </w:tcPr>
          <w:p>
            <w:r>
              <w:t>3,431.14</w:t>
            </w:r>
          </w:p>
        </w:tc>
      </w:tr>
      <w:tr>
        <w:tc>
          <w:tcPr>
            <w:tcW w:type="dxa" w:w="4824"/>
          </w:tcPr>
          <w:p>
            <w:r>
              <w:t>num__housing_median_age</w:t>
            </w:r>
          </w:p>
        </w:tc>
        <w:tc>
          <w:tcPr>
            <w:tcW w:type="dxa" w:w="4824"/>
          </w:tcPr>
          <w:p>
            <w:r>
              <w:t>1,102.19</w:t>
            </w:r>
          </w:p>
        </w:tc>
      </w:tr>
    </w:tbl>
    <w:p>
      <w:r>
        <w:t>The strongest absolute coefficients include cat__ocean_proximity_ISLAND (136,125), cat__ocean_proximity_INLAND (-39,787), num__median_income (39,474). These values are conditional model estimates and are not causal claims.</w:t>
      </w:r>
    </w:p>
    <w:p>
      <w:pPr>
        <w:pStyle w:val="Heading1"/>
      </w:pPr>
      <w:r>
        <w:t>9. Multicollinearity</w:t>
      </w:r>
    </w:p>
    <w:p>
      <w:r>
        <w:t>Multicollinearity means that predictors overlap in the information they provide. The classical regression framework prefers low multicollinearity, but this VIF analysis shows substantial multicollinearity among several predictors, especially housing-count variables. It can affect coefficient stability and interpretability, while predictive use is not automatically invalidated. VIF is used as a diagnostic; 5 or 10 are rules of thumb, not strict universal cutoffs.</w:t>
      </w:r>
    </w:p>
    <w:tbl>
      <w:tblPr>
        <w:tblStyle w:val="LightShading-Accent1"/>
        <w:tblW w:type="auto" w:w="0"/>
        <w:tblLook w:firstColumn="1" w:firstRow="1" w:lastColumn="0" w:lastRow="0" w:noHBand="0" w:noVBand="1" w:val="04A0"/>
      </w:tblPr>
      <w:tblGrid>
        <w:gridCol w:w="4824"/>
        <w:gridCol w:w="4824"/>
      </w:tblGrid>
      <w:tr>
        <w:tc>
          <w:tcPr>
            <w:tcW w:type="dxa" w:w="4824"/>
          </w:tcPr>
          <w:p>
            <w:r>
              <w:t>Numerical feature</w:t>
            </w:r>
          </w:p>
        </w:tc>
        <w:tc>
          <w:tcPr>
            <w:tcW w:type="dxa" w:w="4824"/>
          </w:tcPr>
          <w:p>
            <w:r>
              <w:t>VIF</w:t>
            </w:r>
          </w:p>
        </w:tc>
      </w:tr>
      <w:tr>
        <w:tc>
          <w:tcPr>
            <w:tcW w:type="dxa" w:w="4824"/>
          </w:tcPr>
          <w:p>
            <w:r>
              <w:t>total_bedrooms</w:t>
            </w:r>
          </w:p>
        </w:tc>
        <w:tc>
          <w:tcPr>
            <w:tcW w:type="dxa" w:w="4824"/>
          </w:tcPr>
          <w:p>
            <w:r>
              <w:t>36.31</w:t>
            </w:r>
          </w:p>
        </w:tc>
      </w:tr>
      <w:tr>
        <w:tc>
          <w:tcPr>
            <w:tcW w:type="dxa" w:w="4824"/>
          </w:tcPr>
          <w:p>
            <w:r>
              <w:t>households</w:t>
            </w:r>
          </w:p>
        </w:tc>
        <w:tc>
          <w:tcPr>
            <w:tcW w:type="dxa" w:w="4824"/>
          </w:tcPr>
          <w:p>
            <w:r>
              <w:t>35.82</w:t>
            </w:r>
          </w:p>
        </w:tc>
      </w:tr>
      <w:tr>
        <w:tc>
          <w:tcPr>
            <w:tcW w:type="dxa" w:w="4824"/>
          </w:tcPr>
          <w:p>
            <w:r>
              <w:t>total_rooms</w:t>
            </w:r>
          </w:p>
        </w:tc>
        <w:tc>
          <w:tcPr>
            <w:tcW w:type="dxa" w:w="4824"/>
          </w:tcPr>
          <w:p>
            <w:r>
              <w:t>12.82</w:t>
            </w:r>
          </w:p>
        </w:tc>
      </w:tr>
      <w:tr>
        <w:tc>
          <w:tcPr>
            <w:tcW w:type="dxa" w:w="4824"/>
          </w:tcPr>
          <w:p>
            <w:r>
              <w:t>latitude</w:t>
            </w:r>
          </w:p>
        </w:tc>
        <w:tc>
          <w:tcPr>
            <w:tcW w:type="dxa" w:w="4824"/>
          </w:tcPr>
          <w:p>
            <w:r>
              <w:t>8.80</w:t>
            </w:r>
          </w:p>
        </w:tc>
      </w:tr>
      <w:tr>
        <w:tc>
          <w:tcPr>
            <w:tcW w:type="dxa" w:w="4824"/>
          </w:tcPr>
          <w:p>
            <w:r>
              <w:t>longitude</w:t>
            </w:r>
          </w:p>
        </w:tc>
        <w:tc>
          <w:tcPr>
            <w:tcW w:type="dxa" w:w="4824"/>
          </w:tcPr>
          <w:p>
            <w:r>
              <w:t>8.68</w:t>
            </w:r>
          </w:p>
        </w:tc>
      </w:tr>
      <w:tr>
        <w:tc>
          <w:tcPr>
            <w:tcW w:type="dxa" w:w="4824"/>
          </w:tcPr>
          <w:p>
            <w:r>
              <w:t>population</w:t>
            </w:r>
          </w:p>
        </w:tc>
        <w:tc>
          <w:tcPr>
            <w:tcW w:type="dxa" w:w="4824"/>
          </w:tcPr>
          <w:p>
            <w:r>
              <w:t>6.35</w:t>
            </w:r>
          </w:p>
        </w:tc>
      </w:tr>
      <w:tr>
        <w:tc>
          <w:tcPr>
            <w:tcW w:type="dxa" w:w="4824"/>
          </w:tcPr>
          <w:p>
            <w:r>
              <w:t>median_income</w:t>
            </w:r>
          </w:p>
        </w:tc>
        <w:tc>
          <w:tcPr>
            <w:tcW w:type="dxa" w:w="4824"/>
          </w:tcPr>
          <w:p>
            <w:r>
              <w:t>1.74</w:t>
            </w:r>
          </w:p>
        </w:tc>
      </w:tr>
      <w:tr>
        <w:tc>
          <w:tcPr>
            <w:tcW w:type="dxa" w:w="4824"/>
          </w:tcPr>
          <w:p>
            <w:r>
              <w:t>housing_median_age</w:t>
            </w:r>
          </w:p>
        </w:tc>
        <w:tc>
          <w:tcPr>
            <w:tcW w:type="dxa" w:w="4824"/>
          </w:tcPr>
          <w:p>
            <w:r>
              <w:t>1.26</w:t>
            </w:r>
          </w:p>
        </w:tc>
      </w:tr>
    </w:tbl>
    <w:p>
      <w:pPr>
        <w:pStyle w:val="Heading1"/>
      </w:pPr>
      <w:r>
        <w:t>10. Implementation Summary</w:t>
      </w:r>
    </w:p>
    <w:p>
      <w:r>
        <w:t>The data were split into 80% training and 20% testing with random_state=42. Median imputation, StandardScaler for numerical features, and drop-first one-hot encoding were placed inside a scikit-learn Pipeline/ColumnTransformer to prevent test-set leakage. The model was fitted on training data and evaluated once on the held-out test set.</w:t>
      </w:r>
    </w:p>
    <w:p>
      <w:pPr>
        <w:pStyle w:val="Heading1"/>
      </w:pPr>
      <w:r>
        <w:t>11. Evaluation Metrics</w:t>
      </w:r>
    </w:p>
    <w:p>
      <w:r>
        <w:t>MSE is the mean squared error, MAE is the average absolute dollar error, and R² is the fraction of test-target variance explained by the model.</w:t>
      </w:r>
    </w:p>
    <w:tbl>
      <w:tblPr>
        <w:tblStyle w:val="LightShading-Accent1"/>
        <w:tblW w:type="auto" w:w="0"/>
        <w:tblLook w:firstColumn="1" w:firstRow="1" w:lastColumn="0" w:lastRow="0" w:noHBand="0" w:noVBand="1" w:val="04A0"/>
      </w:tblPr>
      <w:tblGrid>
        <w:gridCol w:w="4824"/>
        <w:gridCol w:w="4824"/>
      </w:tblGrid>
      <w:tr>
        <w:tc>
          <w:tcPr>
            <w:tcW w:type="dxa" w:w="4824"/>
          </w:tcPr>
          <w:p>
            <w:r>
              <w:t>Metric</w:t>
            </w:r>
          </w:p>
        </w:tc>
        <w:tc>
          <w:tcPr>
            <w:tcW w:type="dxa" w:w="4824"/>
          </w:tcPr>
          <w:p>
            <w:r>
              <w:t>Test result</w:t>
            </w:r>
          </w:p>
        </w:tc>
      </w:tr>
      <w:tr>
        <w:tc>
          <w:tcPr>
            <w:tcW w:type="dxa" w:w="4824"/>
          </w:tcPr>
          <w:p>
            <w:r>
              <w:t>MSE</w:t>
            </w:r>
          </w:p>
        </w:tc>
        <w:tc>
          <w:tcPr>
            <w:tcW w:type="dxa" w:w="4824"/>
          </w:tcPr>
          <w:p>
            <w:r>
              <w:t>4,908,290,571.35</w:t>
            </w:r>
          </w:p>
        </w:tc>
      </w:tr>
      <w:tr>
        <w:tc>
          <w:tcPr>
            <w:tcW w:type="dxa" w:w="4824"/>
          </w:tcPr>
          <w:p>
            <w:r>
              <w:t>MAE</w:t>
            </w:r>
          </w:p>
        </w:tc>
        <w:tc>
          <w:tcPr>
            <w:tcW w:type="dxa" w:w="4824"/>
          </w:tcPr>
          <w:p>
            <w:r>
              <w:t>50,670.49</w:t>
            </w:r>
          </w:p>
        </w:tc>
      </w:tr>
      <w:tr>
        <w:tc>
          <w:tcPr>
            <w:tcW w:type="dxa" w:w="4824"/>
          </w:tcPr>
          <w:p>
            <w:r>
              <w:t>R²</w:t>
            </w:r>
          </w:p>
        </w:tc>
        <w:tc>
          <w:tcPr>
            <w:tcW w:type="dxa" w:w="4824"/>
          </w:tcPr>
          <w:p>
            <w:r>
              <w:t>0.6254</w:t>
            </w:r>
          </w:p>
        </w:tc>
      </w:tr>
    </w:tbl>
    <w:p>
      <w:pPr>
        <w:pStyle w:val="Heading1"/>
      </w:pPr>
      <w:r>
        <w:t>12. Actual Experimental Results</w:t>
      </w:r>
    </w:p>
    <w:p>
      <w:r>
        <w:t>On the 4,128-row test set, the model achieved an MAE of $50,670.49 USD; a typical absolute prediction error is therefore about this size. R²=0.6254 indicates that the linear model explains approximately 62.5% of held-out target variation. The MSE is 4,908,290,571.35 USD². The capped target and nonlinear geography/income effects are important limitations. The maximum recorded target is $500,001, shared by 965 observations. Ordinary Linear Regression has an unbounded output; the minimum prediction was $-193,444.92, so some predictions can be unrealistic negative prices.</w:t>
      </w:r>
    </w:p>
    <w:p>
      <w:pPr>
        <w:pStyle w:val="Heading1"/>
      </w:pPr>
      <w:r>
        <w:t>13. Short Conclusion</w:t>
      </w:r>
    </w:p>
    <w:p>
      <w:r>
        <w:t>Multiple Linear Regression provided a clear and reproducible baseline for house-price prediction. The pipeline handled the mixed feature types correctly, and the actual test metrics show useful predictive power. Residuals and VIF diagnostics indicate that the model should be used as a baseline rather than as a causal pricing formula.</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