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tblpX="108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800"/>
        <w:gridCol w:w="720"/>
        <w:gridCol w:w="576"/>
        <w:gridCol w:w="793"/>
        <w:gridCol w:w="369"/>
        <w:gridCol w:w="1171"/>
        <w:gridCol w:w="1211"/>
        <w:gridCol w:w="740"/>
        <w:gridCol w:w="678"/>
        <w:gridCol w:w="1014"/>
        <w:gridCol w:w="468"/>
      </w:tblGrid>
      <w:tr w14:paraId="5335A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Before w:w="0" w:type="dxa"/>
          <w:wAfter w:w="2160" w:type="dxa"/>
          <w:cantSplit/>
          <w:trHeight w:val="915" w:hRule="atLeast"/>
        </w:trPr>
        <w:tc>
          <w:tcPr>
            <w:tcW w:w="5437" w:type="dxa"/>
            <w:gridSpan w:val="5"/>
            <w:vMerge w:val="restart"/>
            <w:tcBorders>
              <w:top w:val="single" w:color="auto" w:sz="4" w:space="0"/>
              <w:left w:val="nil"/>
              <w:right w:val="nil"/>
            </w:tcBorders>
            <w:noWrap w:val="0"/>
            <w:vAlign w:val="top"/>
          </w:tcPr>
          <w:p w14:paraId="2EE5CEE0">
            <w:bookmarkStart w:id="0" w:name="_GoBack"/>
            <w:bookmarkEnd w:id="0"/>
            <w:r>
              <w:t xml:space="preserve">Shipper   </w:t>
            </w:r>
            <w:r>
              <w:rPr>
                <w:rFonts w:hint="eastAsia"/>
              </w:rPr>
              <w:t xml:space="preserve">  </w:t>
            </w:r>
            <w:r>
              <w:t xml:space="preserve"> (</w:t>
            </w:r>
            <w:r>
              <w:rPr>
                <w:rFonts w:hint="eastAsia"/>
              </w:rPr>
              <w:t>发货人)</w:t>
            </w:r>
          </w:p>
          <w:p w14:paraId="4817C085">
            <w:pPr>
              <w:rPr>
                <w:rFonts w:hint="eastAsia"/>
              </w:rPr>
            </w:pPr>
            <w:r>
              <w:rPr>
                <w:rFonts w:hint="eastAsia"/>
              </w:rPr>
              <w:t>Huarui International Trading Co., Ltd</w:t>
            </w:r>
          </w:p>
          <w:p w14:paraId="752ED881">
            <w:r>
              <w:rPr>
                <w:rFonts w:hint="eastAsia"/>
              </w:rPr>
              <w:t xml:space="preserve">  Room 1208, No.88 Century Avenue, Pudong, Shanghai 200120, China</w:t>
            </w:r>
          </w:p>
        </w:tc>
        <w:tc>
          <w:tcPr>
            <w:tcW w:w="369" w:type="dxa"/>
            <w:vMerge w:val="restart"/>
            <w:tcBorders>
              <w:top w:val="nil"/>
              <w:left w:val="nil"/>
              <w:right w:val="single" w:color="auto" w:sz="4" w:space="0"/>
            </w:tcBorders>
            <w:noWrap w:val="0"/>
            <w:vAlign w:val="top"/>
          </w:tcPr>
          <w:p w14:paraId="6C36B254"/>
        </w:tc>
        <w:tc>
          <w:tcPr>
            <w:tcW w:w="31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459352F">
            <w:r>
              <w:rPr>
                <w:rFonts w:hint="eastAsia"/>
              </w:rPr>
              <w:t>D/R N</w:t>
            </w:r>
            <w:r>
              <w:t>o.</w:t>
            </w:r>
            <w:r>
              <w:rPr>
                <w:rFonts w:hint="eastAsia"/>
              </w:rPr>
              <w:t xml:space="preserve">（编号）    </w:t>
            </w:r>
          </w:p>
          <w:p w14:paraId="6DA1348E">
            <w:pPr>
              <w:rPr>
                <w:rFonts w:hint="eastAsia"/>
                <w:color w:val="FF0000"/>
              </w:rPr>
            </w:pPr>
          </w:p>
        </w:tc>
      </w:tr>
      <w:tr w14:paraId="70970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Before w:w="0" w:type="dxa"/>
          <w:wAfter w:w="2160" w:type="dxa"/>
          <w:cantSplit/>
          <w:trHeight w:val="472" w:hRule="atLeast"/>
        </w:trPr>
        <w:tc>
          <w:tcPr>
            <w:tcW w:w="5437" w:type="dxa"/>
            <w:gridSpan w:val="5"/>
            <w:vMerge w:val="continue"/>
            <w:tcBorders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 w14:paraId="13DE6FC4"/>
        </w:tc>
        <w:tc>
          <w:tcPr>
            <w:tcW w:w="369" w:type="dxa"/>
            <w:vMerge w:val="continue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672703F2"/>
        </w:tc>
        <w:tc>
          <w:tcPr>
            <w:tcW w:w="3122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top"/>
          </w:tcPr>
          <w:p w14:paraId="1BA8F592">
            <w:pPr>
              <w:rPr>
                <w:rFonts w:hint="eastAsia"/>
              </w:rPr>
            </w:pPr>
          </w:p>
        </w:tc>
      </w:tr>
      <w:tr w14:paraId="4236C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468" w:type="dxa"/>
          <w:cantSplit/>
          <w:trHeight w:val="1697" w:hRule="atLeast"/>
        </w:trPr>
        <w:tc>
          <w:tcPr>
            <w:tcW w:w="5437" w:type="dxa"/>
            <w:gridSpan w:val="5"/>
            <w:tcBorders>
              <w:left w:val="nil"/>
              <w:right w:val="nil"/>
            </w:tcBorders>
            <w:noWrap w:val="0"/>
            <w:vAlign w:val="top"/>
          </w:tcPr>
          <w:p w14:paraId="706FD9B8">
            <w:r>
              <w:t xml:space="preserve">Consignee </w:t>
            </w:r>
            <w:r>
              <w:rPr>
                <w:rFonts w:hint="eastAsia"/>
              </w:rPr>
              <w:t xml:space="preserve"> （收货人）</w:t>
            </w:r>
          </w:p>
          <w:p w14:paraId="2C7E6F90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GreenChem Europe B.V.</w:t>
            </w:r>
          </w:p>
          <w:p w14:paraId="4A15FD8F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Keizersgracht 125, 1015 CJ Amsterdam, Netherlands</w:t>
            </w:r>
          </w:p>
        </w:tc>
        <w:tc>
          <w:tcPr>
            <w:tcW w:w="5183" w:type="dxa"/>
            <w:gridSpan w:val="6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17FF31E5">
            <w:pPr>
              <w:jc w:val="center"/>
              <w:rPr>
                <w:b/>
                <w:bCs/>
                <w:sz w:val="32"/>
              </w:rPr>
            </w:pPr>
            <w:r>
              <w:rPr>
                <w:rFonts w:hint="eastAsia"/>
                <w:b/>
                <w:bCs/>
                <w:sz w:val="32"/>
              </w:rPr>
              <w:t>货代留底</w:t>
            </w:r>
          </w:p>
          <w:p w14:paraId="082A1E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定</w:t>
            </w:r>
            <w:r>
              <w:t xml:space="preserve"> </w:t>
            </w:r>
            <w:r>
              <w:rPr>
                <w:rFonts w:hint="eastAsia" w:ascii="Damascus" w:hAnsi="Damascus" w:cs="Damascus"/>
              </w:rPr>
              <w:t>月</w:t>
            </w:r>
            <w:r>
              <w:t xml:space="preserve"> </w:t>
            </w:r>
            <w:r>
              <w:rPr>
                <w:rFonts w:hint="eastAsia"/>
              </w:rPr>
              <w:t xml:space="preserve">/日 </w:t>
            </w:r>
          </w:p>
        </w:tc>
      </w:tr>
      <w:tr w14:paraId="5712C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Before w:w="0" w:type="dxa"/>
          <w:wAfter w:w="5651" w:type="dxa"/>
          <w:cantSplit/>
          <w:trHeight w:val="1692" w:hRule="atLeast"/>
        </w:trPr>
        <w:tc>
          <w:tcPr>
            <w:tcW w:w="5437" w:type="dxa"/>
            <w:gridSpan w:val="5"/>
            <w:tcBorders>
              <w:left w:val="nil"/>
              <w:right w:val="nil"/>
            </w:tcBorders>
            <w:noWrap w:val="0"/>
            <w:vAlign w:val="top"/>
          </w:tcPr>
          <w:p w14:paraId="753D03B2">
            <w:r>
              <w:t xml:space="preserve">Notify Party </w:t>
            </w:r>
            <w:r>
              <w:rPr>
                <w:rFonts w:hint="eastAsia"/>
              </w:rPr>
              <w:t>（通知人）</w:t>
            </w:r>
          </w:p>
          <w:p w14:paraId="4797FC34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Same as Consignee</w:t>
            </w:r>
          </w:p>
          <w:p w14:paraId="00447DFD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Contact: Mr. Erik van der Berg</w:t>
            </w:r>
          </w:p>
          <w:p w14:paraId="60434F49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Tel: +31 20 5551234</w:t>
            </w:r>
          </w:p>
          <w:p w14:paraId="76CE0822"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 xml:space="preserve">  Email: erik@greenchem-europe.com</w:t>
            </w:r>
          </w:p>
        </w:tc>
      </w:tr>
      <w:tr w14:paraId="6B93D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5"/>
          <w:wBefore w:w="0" w:type="dxa"/>
          <w:wAfter w:w="4111" w:type="dxa"/>
          <w:cantSplit/>
          <w:trHeight w:val="449" w:hRule="atLeast"/>
        </w:trPr>
        <w:tc>
          <w:tcPr>
            <w:tcW w:w="4068" w:type="dxa"/>
            <w:gridSpan w:val="3"/>
            <w:tcBorders>
              <w:left w:val="nil"/>
              <w:right w:val="nil"/>
            </w:tcBorders>
            <w:noWrap w:val="0"/>
            <w:vAlign w:val="top"/>
          </w:tcPr>
          <w:p w14:paraId="19CE884E">
            <w:r>
              <w:t xml:space="preserve">Ocean Vessel </w:t>
            </w:r>
            <w:r>
              <w:rPr>
                <w:rFonts w:hint="eastAsia"/>
              </w:rPr>
              <w:t xml:space="preserve">（船名）   </w:t>
            </w:r>
            <w:r>
              <w:t xml:space="preserve"> Voy.No.</w:t>
            </w:r>
            <w:r>
              <w:rPr>
                <w:rFonts w:hint="eastAsia"/>
              </w:rPr>
              <w:t>（航次）</w:t>
            </w:r>
          </w:p>
          <w:p w14:paraId="2A701063">
            <w:r>
              <w:rPr>
                <w:rFonts w:hint="eastAsia"/>
              </w:rPr>
              <w:t xml:space="preserve"> </w:t>
            </w:r>
          </w:p>
        </w:tc>
        <w:tc>
          <w:tcPr>
            <w:tcW w:w="2909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top"/>
          </w:tcPr>
          <w:p w14:paraId="0CB5D849">
            <w:r>
              <w:t xml:space="preserve">Port of Loading  </w:t>
            </w:r>
            <w:r>
              <w:rPr>
                <w:rFonts w:hint="eastAsia"/>
              </w:rPr>
              <w:t>（装货港） Shanghai, China</w:t>
            </w:r>
          </w:p>
        </w:tc>
      </w:tr>
      <w:tr w14:paraId="20891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22" w:hRule="atLeast"/>
        </w:trPr>
        <w:tc>
          <w:tcPr>
            <w:tcW w:w="8188" w:type="dxa"/>
            <w:gridSpan w:val="8"/>
            <w:tcBorders>
              <w:left w:val="nil"/>
              <w:right w:val="dotted" w:color="auto" w:sz="4" w:space="0"/>
            </w:tcBorders>
            <w:noWrap w:val="0"/>
            <w:vAlign w:val="top"/>
          </w:tcPr>
          <w:p w14:paraId="665F94BE">
            <w:r>
              <w:t xml:space="preserve">Port of Discharge  </w:t>
            </w:r>
            <w:r>
              <w:rPr>
                <w:rFonts w:hint="eastAsia"/>
              </w:rPr>
              <w:t xml:space="preserve">（卸货港）  </w:t>
            </w:r>
            <w:r>
              <w:t xml:space="preserve">Place of Delivery  </w:t>
            </w:r>
            <w:r>
              <w:rPr>
                <w:rFonts w:hint="eastAsia"/>
              </w:rPr>
              <w:t>（交货地点）</w:t>
            </w:r>
          </w:p>
          <w:p w14:paraId="5BD449ED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Rotterdam, Netherlands                      Rotterdam, Netherlands</w:t>
            </w:r>
          </w:p>
        </w:tc>
        <w:tc>
          <w:tcPr>
            <w:tcW w:w="2900" w:type="dxa"/>
            <w:gridSpan w:val="4"/>
            <w:tcBorders>
              <w:top w:val="single" w:color="auto" w:sz="4" w:space="0"/>
              <w:left w:val="dotted" w:color="auto" w:sz="4" w:space="0"/>
              <w:right w:val="nil"/>
            </w:tcBorders>
            <w:noWrap w:val="0"/>
            <w:vAlign w:val="top"/>
          </w:tcPr>
          <w:p w14:paraId="357F5998">
            <w:pPr>
              <w:rPr>
                <w:rFonts w:hint="eastAsia"/>
              </w:rPr>
            </w:pPr>
            <w:r>
              <w:t>Final Destination for the Merchant’s Reference</w:t>
            </w:r>
            <w:r>
              <w:rPr>
                <w:rFonts w:hint="eastAsia"/>
              </w:rPr>
              <w:t>（目的地）</w:t>
            </w:r>
          </w:p>
        </w:tc>
      </w:tr>
      <w:tr w14:paraId="57AF1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743" w:hRule="atLeast"/>
        </w:trPr>
        <w:tc>
          <w:tcPr>
            <w:tcW w:w="1548" w:type="dxa"/>
            <w:tcBorders>
              <w:left w:val="nil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1623F5DE">
            <w:r>
              <w:t>Container NO.</w:t>
            </w:r>
          </w:p>
          <w:p w14:paraId="45FB9C63">
            <w:r>
              <w:rPr>
                <w:rFonts w:hint="eastAsia"/>
              </w:rPr>
              <w:t>（集装箱号）</w:t>
            </w:r>
          </w:p>
        </w:tc>
        <w:tc>
          <w:tcPr>
            <w:tcW w:w="1800" w:type="dxa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300C4955">
            <w:pPr>
              <w:rPr>
                <w:rFonts w:hint="eastAsia"/>
              </w:rPr>
            </w:pPr>
            <w:r>
              <w:t>Seal No.</w:t>
            </w:r>
            <w:r>
              <w:rPr>
                <w:rFonts w:hint="eastAsia"/>
              </w:rPr>
              <w:t>（封志号）</w:t>
            </w:r>
          </w:p>
          <w:p w14:paraId="3C380E35">
            <w:r>
              <w:t>Marks &amp; Nos.</w:t>
            </w:r>
          </w:p>
          <w:p w14:paraId="651EEB79">
            <w:r>
              <w:rPr>
                <w:rFonts w:hint="eastAsia"/>
              </w:rPr>
              <w:t>（标记与号码）</w:t>
            </w:r>
          </w:p>
        </w:tc>
        <w:tc>
          <w:tcPr>
            <w:tcW w:w="1296" w:type="dxa"/>
            <w:gridSpan w:val="2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60268DA7">
            <w:pPr>
              <w:rPr>
                <w:rFonts w:hint="eastAsia"/>
              </w:rPr>
            </w:pPr>
            <w:r>
              <w:t>No.of containers or p’kgs.</w:t>
            </w:r>
          </w:p>
          <w:p w14:paraId="6152B10D">
            <w:r>
              <w:rPr>
                <w:rFonts w:hint="eastAsia"/>
              </w:rPr>
              <w:t>（箱数或件数）</w:t>
            </w:r>
          </w:p>
        </w:tc>
        <w:tc>
          <w:tcPr>
            <w:tcW w:w="3544" w:type="dxa"/>
            <w:gridSpan w:val="4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416F6722">
            <w:r>
              <w:t xml:space="preserve">Kind of Packages: Description of Goods </w:t>
            </w:r>
            <w:r>
              <w:rPr>
                <w:rFonts w:hint="eastAsia"/>
              </w:rPr>
              <w:t>（包装种类与货名）</w:t>
            </w:r>
          </w:p>
        </w:tc>
        <w:tc>
          <w:tcPr>
            <w:tcW w:w="1418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340D3A13">
            <w:r>
              <w:t>Gross Weight</w:t>
            </w:r>
          </w:p>
          <w:p w14:paraId="03BBEC5E">
            <w:r>
              <w:rPr>
                <w:rFonts w:hint="eastAsia"/>
              </w:rPr>
              <w:t>毛重（公斤）</w:t>
            </w:r>
          </w:p>
        </w:tc>
        <w:tc>
          <w:tcPr>
            <w:tcW w:w="1482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118FF342">
            <w:r>
              <w:t>Measurement</w:t>
            </w:r>
          </w:p>
          <w:p w14:paraId="4909FB8E">
            <w:r>
              <w:rPr>
                <w:rFonts w:hint="eastAsia"/>
              </w:rPr>
              <w:t>尺码（立方米）</w:t>
            </w:r>
          </w:p>
        </w:tc>
      </w:tr>
      <w:tr w14:paraId="527CA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607" w:hRule="atLeast"/>
        </w:trPr>
        <w:tc>
          <w:tcPr>
            <w:tcW w:w="1548" w:type="dxa"/>
            <w:tcBorders>
              <w:left w:val="nil"/>
              <w:right w:val="dotted" w:color="auto" w:sz="4" w:space="0"/>
            </w:tcBorders>
            <w:noWrap w:val="0"/>
            <w:vAlign w:val="top"/>
          </w:tcPr>
          <w:p w14:paraId="45587AA1">
            <w:pPr>
              <w:rPr>
                <w:rFonts w:hint="eastAsia"/>
              </w:rPr>
            </w:pPr>
          </w:p>
        </w:tc>
        <w:tc>
          <w:tcPr>
            <w:tcW w:w="1800" w:type="dxa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485518B9">
            <w:pPr>
              <w:rPr>
                <w:color w:val="auto"/>
              </w:rPr>
            </w:pPr>
          </w:p>
          <w:p w14:paraId="49A0BCC0">
            <w:pPr>
              <w:rPr>
                <w:color w:val="auto"/>
              </w:rPr>
            </w:pPr>
            <w:r>
              <w:rPr>
                <w:color w:val="auto"/>
              </w:rPr>
              <w:t>N/M</w:t>
            </w:r>
          </w:p>
        </w:tc>
        <w:tc>
          <w:tcPr>
            <w:tcW w:w="1296" w:type="dxa"/>
            <w:gridSpan w:val="2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7E6A9B32">
            <w:pPr>
              <w:rPr>
                <w:color w:val="auto"/>
              </w:rPr>
            </w:pPr>
          </w:p>
          <w:p w14:paraId="6E48E43F">
            <w:pPr>
              <w:jc w:val="left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 xml:space="preserve">20 IBCS </w:t>
            </w:r>
          </w:p>
        </w:tc>
        <w:tc>
          <w:tcPr>
            <w:tcW w:w="3544" w:type="dxa"/>
            <w:gridSpan w:val="4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6ECD3251">
            <w:pPr>
              <w:jc w:val="center"/>
              <w:rPr>
                <w:color w:val="auto"/>
              </w:rPr>
            </w:pPr>
          </w:p>
          <w:p w14:paraId="4C9FCC6E">
            <w:pPr>
              <w:jc w:val="left"/>
              <w:rPr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 xml:space="preserve"> Glutaraldehyde 50%</w:t>
            </w:r>
            <w:r>
              <w:rPr>
                <w:rFonts w:hint="eastAsia"/>
                <w:color w:val="auto"/>
                <w:lang w:eastAsia="zh-CN"/>
              </w:rPr>
              <w:br/>
            </w:r>
            <w:r>
              <w:rPr>
                <w:rFonts w:hint="eastAsia"/>
                <w:color w:val="auto"/>
              </w:rPr>
              <w:t>NET WEIGHT</w:t>
            </w:r>
            <w:r>
              <w:rPr>
                <w:color w:val="auto"/>
              </w:rPr>
              <w:t>:</w:t>
            </w:r>
            <w:r>
              <w:rPr>
                <w:rFonts w:hint="eastAsia"/>
                <w:color w:val="auto"/>
              </w:rPr>
              <w:t>21,000 KGS</w:t>
            </w:r>
          </w:p>
          <w:p w14:paraId="6FA210B1">
            <w:pPr>
              <w:jc w:val="left"/>
              <w:rPr>
                <w:rFonts w:hint="default"/>
                <w:color w:val="auto"/>
                <w:lang w:val="en-US"/>
              </w:rPr>
            </w:pPr>
            <w:r>
              <w:rPr>
                <w:color w:val="auto"/>
              </w:rPr>
              <w:t>UN:</w:t>
            </w:r>
            <w:r>
              <w:rPr>
                <w:rFonts w:hint="eastAsia"/>
                <w:color w:val="auto"/>
                <w:lang w:val="en-US" w:eastAsia="zh-CN"/>
              </w:rPr>
              <w:t>2810</w:t>
            </w:r>
            <w:r>
              <w:rPr>
                <w:color w:val="auto"/>
              </w:rPr>
              <w:t xml:space="preserve"> CLASS:</w:t>
            </w:r>
            <w:r>
              <w:rPr>
                <w:rFonts w:hint="eastAsia"/>
                <w:color w:val="auto"/>
                <w:lang w:val="en-US" w:eastAsia="zh-CN"/>
              </w:rPr>
              <w:t>6.1</w:t>
            </w:r>
          </w:p>
          <w:p w14:paraId="43478650">
            <w:pPr>
              <w:jc w:val="left"/>
              <w:rPr>
                <w:rFonts w:hint="default"/>
                <w:color w:val="auto"/>
                <w:lang w:val="en-US"/>
              </w:rPr>
            </w:pPr>
            <w:r>
              <w:rPr>
                <w:color w:val="auto"/>
              </w:rPr>
              <w:t>HS CODE:</w:t>
            </w:r>
            <w:r>
              <w:rPr>
                <w:rFonts w:hint="eastAsia"/>
                <w:color w:val="auto"/>
                <w:lang w:val="en-US" w:eastAsia="zh-CN"/>
              </w:rPr>
              <w:t>2912.19</w:t>
            </w:r>
          </w:p>
          <w:p w14:paraId="1174E4C2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INVOICE NO.:</w:t>
            </w:r>
            <w:r>
              <w:rPr>
                <w:rFonts w:hint="eastAsia"/>
                <w:color w:val="auto"/>
              </w:rPr>
              <w:t xml:space="preserve"> 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HR-TEST-CASE04</w:t>
            </w:r>
          </w:p>
          <w:p w14:paraId="19310298">
            <w:pPr>
              <w:rPr>
                <w:rFonts w:hint="eastAsia"/>
                <w:color w:val="auto"/>
              </w:rPr>
            </w:pPr>
          </w:p>
        </w:tc>
        <w:tc>
          <w:tcPr>
            <w:tcW w:w="1418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681B1351">
            <w:pPr>
              <w:rPr>
                <w:color w:val="auto"/>
              </w:rPr>
            </w:pPr>
          </w:p>
          <w:p w14:paraId="06DAD1FC">
            <w:pPr>
              <w:rPr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22150KGS</w:t>
            </w:r>
          </w:p>
        </w:tc>
        <w:tc>
          <w:tcPr>
            <w:tcW w:w="1482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57AD3960">
            <w:pPr>
              <w:rPr>
                <w:color w:val="auto"/>
              </w:rPr>
            </w:pPr>
          </w:p>
          <w:p w14:paraId="5F6B3C9F">
            <w:pPr>
              <w:rPr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50</w:t>
            </w:r>
            <w:r>
              <w:rPr>
                <w:color w:val="auto"/>
              </w:rPr>
              <w:t>CBM</w:t>
            </w:r>
          </w:p>
        </w:tc>
      </w:tr>
    </w:tbl>
    <w:p w14:paraId="6AA1A8B2"/>
    <w:p w14:paraId="2A753F42">
      <w:pPr>
        <w:rPr>
          <w:rFonts w:hint="eastAsia"/>
        </w:rPr>
      </w:pPr>
      <w:r>
        <w:t xml:space="preserve">TOTAL NUMBER OF CONTAINERS </w:t>
      </w:r>
      <w:r>
        <w:rPr>
          <w:rFonts w:hint="eastAsia"/>
        </w:rPr>
        <w:t>OR PACKAGES（IN WORDS）</w:t>
      </w:r>
    </w:p>
    <w:p w14:paraId="4755A3D6">
      <w:r>
        <w:rPr>
          <w:rFonts w:hint="eastAsia"/>
        </w:rPr>
        <w:t>集装箱数或件数合计（大写）</w:t>
      </w:r>
      <w:r>
        <w:rPr>
          <w:rFonts w:hint="eastAsia"/>
          <w:kern w:val="2"/>
          <w:sz w:val="21"/>
          <w:szCs w:val="24"/>
          <w:lang w:val="en-US" w:eastAsia="zh-CN" w:bidi="ar-SA"/>
        </w:rPr>
        <w:t>SAY TOTAL TWENTY (20) IBCS ONLY.</w:t>
      </w:r>
    </w:p>
    <w:p w14:paraId="58388D4B">
      <w:r>
        <w:rPr>
          <w:lang/>
        </w:rPr>
      </w:r>
    </w:p>
    <w:sectPr>
      <w:pgSz w:w="12240" w:h="15840"/>
      <w:pgMar w:top="1440" w:right="680" w:bottom="1440" w:left="680" w:header="709" w:footer="709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amascus">
    <w:altName w:val="Segoe Print"/>
    <w:panose1 w:val="00000400000000000000"/>
    <w:charset w:val="00"/>
    <w:family w:val="auto"/>
    <w:pitch w:val="default"/>
    <w:sig w:usb0="80002003" w:usb1="88000000" w:usb2="14000008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YTM2MDdhNWNiOTczYmY2ZGU1ZGQwZmRiMDkyMGE0M2EifQ=="/>
  </w:docVars>
  <w:rsids>
    <w:rsidRoot w:val="00F7169E"/>
    <w:rsid w:val="00014A3F"/>
    <w:rsid w:val="0001586E"/>
    <w:rsid w:val="00017521"/>
    <w:rsid w:val="00022E31"/>
    <w:rsid w:val="00047395"/>
    <w:rsid w:val="00081BE8"/>
    <w:rsid w:val="00081D80"/>
    <w:rsid w:val="00095BAE"/>
    <w:rsid w:val="000A2652"/>
    <w:rsid w:val="000C01EB"/>
    <w:rsid w:val="000D574B"/>
    <w:rsid w:val="000D6454"/>
    <w:rsid w:val="001065AB"/>
    <w:rsid w:val="00122F9E"/>
    <w:rsid w:val="001237A2"/>
    <w:rsid w:val="00124206"/>
    <w:rsid w:val="00165C84"/>
    <w:rsid w:val="00182E17"/>
    <w:rsid w:val="001833F1"/>
    <w:rsid w:val="001916A6"/>
    <w:rsid w:val="00193A92"/>
    <w:rsid w:val="001A3118"/>
    <w:rsid w:val="00206E40"/>
    <w:rsid w:val="00207502"/>
    <w:rsid w:val="002455A4"/>
    <w:rsid w:val="00251B16"/>
    <w:rsid w:val="00292A42"/>
    <w:rsid w:val="002A646B"/>
    <w:rsid w:val="002B7EBF"/>
    <w:rsid w:val="002C30AE"/>
    <w:rsid w:val="002C3A64"/>
    <w:rsid w:val="002C64D6"/>
    <w:rsid w:val="002D2543"/>
    <w:rsid w:val="002D6EE2"/>
    <w:rsid w:val="002E0B05"/>
    <w:rsid w:val="002E19CD"/>
    <w:rsid w:val="002F0B3F"/>
    <w:rsid w:val="003229EA"/>
    <w:rsid w:val="003418DA"/>
    <w:rsid w:val="00362E10"/>
    <w:rsid w:val="00365EB3"/>
    <w:rsid w:val="003A43E6"/>
    <w:rsid w:val="003B252B"/>
    <w:rsid w:val="003B2939"/>
    <w:rsid w:val="0040150E"/>
    <w:rsid w:val="00426C6B"/>
    <w:rsid w:val="004467CD"/>
    <w:rsid w:val="0045312A"/>
    <w:rsid w:val="00475117"/>
    <w:rsid w:val="0049359F"/>
    <w:rsid w:val="004B0057"/>
    <w:rsid w:val="004B6161"/>
    <w:rsid w:val="004D6C0E"/>
    <w:rsid w:val="00542EAB"/>
    <w:rsid w:val="00560D52"/>
    <w:rsid w:val="005B43CD"/>
    <w:rsid w:val="005B48F2"/>
    <w:rsid w:val="00631D0B"/>
    <w:rsid w:val="00650253"/>
    <w:rsid w:val="00662896"/>
    <w:rsid w:val="0067483A"/>
    <w:rsid w:val="00675D17"/>
    <w:rsid w:val="006842CC"/>
    <w:rsid w:val="006A1100"/>
    <w:rsid w:val="006D640C"/>
    <w:rsid w:val="00740951"/>
    <w:rsid w:val="007616E4"/>
    <w:rsid w:val="0076312F"/>
    <w:rsid w:val="00777DD7"/>
    <w:rsid w:val="00783646"/>
    <w:rsid w:val="007B3DC8"/>
    <w:rsid w:val="007F0B70"/>
    <w:rsid w:val="007F1E08"/>
    <w:rsid w:val="007F37F7"/>
    <w:rsid w:val="007F67C5"/>
    <w:rsid w:val="00810418"/>
    <w:rsid w:val="00822666"/>
    <w:rsid w:val="00824C67"/>
    <w:rsid w:val="00857A86"/>
    <w:rsid w:val="008862F5"/>
    <w:rsid w:val="0088760B"/>
    <w:rsid w:val="008A4BF4"/>
    <w:rsid w:val="008C0E47"/>
    <w:rsid w:val="0091155E"/>
    <w:rsid w:val="009172FD"/>
    <w:rsid w:val="00924BE7"/>
    <w:rsid w:val="00955038"/>
    <w:rsid w:val="009C7372"/>
    <w:rsid w:val="009D3E82"/>
    <w:rsid w:val="009D677B"/>
    <w:rsid w:val="00A37A03"/>
    <w:rsid w:val="00A62C2A"/>
    <w:rsid w:val="00A65B45"/>
    <w:rsid w:val="00A66BA3"/>
    <w:rsid w:val="00A87814"/>
    <w:rsid w:val="00A936B0"/>
    <w:rsid w:val="00AC5288"/>
    <w:rsid w:val="00AE5D3A"/>
    <w:rsid w:val="00AF399C"/>
    <w:rsid w:val="00B158EC"/>
    <w:rsid w:val="00B309F4"/>
    <w:rsid w:val="00B32440"/>
    <w:rsid w:val="00B52AD6"/>
    <w:rsid w:val="00B9133D"/>
    <w:rsid w:val="00B95B5E"/>
    <w:rsid w:val="00B97C0A"/>
    <w:rsid w:val="00BB0664"/>
    <w:rsid w:val="00BD2E6D"/>
    <w:rsid w:val="00BF162C"/>
    <w:rsid w:val="00C1368F"/>
    <w:rsid w:val="00C26CA7"/>
    <w:rsid w:val="00C32BD2"/>
    <w:rsid w:val="00C82F27"/>
    <w:rsid w:val="00CC5B8E"/>
    <w:rsid w:val="00CE0553"/>
    <w:rsid w:val="00D62058"/>
    <w:rsid w:val="00D6304F"/>
    <w:rsid w:val="00D65F18"/>
    <w:rsid w:val="00D675FF"/>
    <w:rsid w:val="00DA4D7D"/>
    <w:rsid w:val="00E06ECD"/>
    <w:rsid w:val="00E21D19"/>
    <w:rsid w:val="00E251DA"/>
    <w:rsid w:val="00E31CB2"/>
    <w:rsid w:val="00E46961"/>
    <w:rsid w:val="00E75F48"/>
    <w:rsid w:val="00EA5AFC"/>
    <w:rsid w:val="00EC4901"/>
    <w:rsid w:val="00EF5E0C"/>
    <w:rsid w:val="00EF71EA"/>
    <w:rsid w:val="00F34F04"/>
    <w:rsid w:val="00F447A3"/>
    <w:rsid w:val="00F47117"/>
    <w:rsid w:val="00F50C7D"/>
    <w:rsid w:val="00F62F23"/>
    <w:rsid w:val="00F7169E"/>
    <w:rsid w:val="00F805A7"/>
    <w:rsid w:val="00F849AF"/>
    <w:rsid w:val="00F84C8C"/>
    <w:rsid w:val="00FA12AD"/>
    <w:rsid w:val="00FA315D"/>
    <w:rsid w:val="00FD158D"/>
    <w:rsid w:val="00FF6262"/>
    <w:rsid w:val="01E84822"/>
    <w:rsid w:val="1D2D3883"/>
    <w:rsid w:val="22B2264C"/>
    <w:rsid w:val="23895235"/>
    <w:rsid w:val="252B0190"/>
    <w:rsid w:val="257A33DD"/>
    <w:rsid w:val="2B984710"/>
    <w:rsid w:val="2C0D51EC"/>
    <w:rsid w:val="2CE37F51"/>
    <w:rsid w:val="387E6E9F"/>
    <w:rsid w:val="3A875672"/>
    <w:rsid w:val="3AB45ACD"/>
    <w:rsid w:val="3B732C9E"/>
    <w:rsid w:val="3CEC51E2"/>
    <w:rsid w:val="3DDA0A65"/>
    <w:rsid w:val="52C2647A"/>
    <w:rsid w:val="59FD6B97"/>
    <w:rsid w:val="5A423992"/>
    <w:rsid w:val="5D5757D7"/>
    <w:rsid w:val="662B1A09"/>
    <w:rsid w:val="7FA443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unhideWhenUsed/>
    <w:uiPriority w:val="99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320"/>
        <w:tab w:val="right" w:pos="8640"/>
      </w:tabs>
    </w:pPr>
  </w:style>
  <w:style w:type="paragraph" w:styleId="3">
    <w:name w:val="header"/>
    <w:basedOn w:val="1"/>
    <w:link w:val="8"/>
    <w:unhideWhenUsed/>
    <w:uiPriority w:val="99"/>
    <w:pPr>
      <w:tabs>
        <w:tab w:val="center" w:pos="4320"/>
        <w:tab w:val="right" w:pos="8640"/>
      </w:tabs>
    </w:pPr>
  </w:style>
  <w:style w:type="character" w:styleId="6">
    <w:name w:val="Hyperlink"/>
    <w:unhideWhenUsed/>
    <w:uiPriority w:val="99"/>
    <w:rPr>
      <w:color w:val="0000FF"/>
      <w:u w:val="single"/>
    </w:rPr>
  </w:style>
  <w:style w:type="character" w:customStyle="1" w:styleId="7">
    <w:name w:val="页脚 字符"/>
    <w:link w:val="2"/>
    <w:uiPriority w:val="99"/>
    <w:rPr>
      <w:rFonts w:ascii="Times New Roman" w:hAnsi="Times New Roman"/>
      <w:kern w:val="2"/>
      <w:sz w:val="21"/>
      <w:szCs w:val="24"/>
    </w:rPr>
  </w:style>
  <w:style w:type="character" w:customStyle="1" w:styleId="8">
    <w:name w:val="页眉 字符"/>
    <w:link w:val="3"/>
    <w:uiPriority w:val="99"/>
    <w:rPr>
      <w:rFonts w:ascii="Times New Roman" w:hAnsi="Times New Roman"/>
      <w:kern w:val="2"/>
      <w:sz w:val="21"/>
      <w:szCs w:val="24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Lenovo</Company>
  <Pages>1</Pages>
  <Words>203</Words>
  <Characters>538</Characters>
  <Lines>8</Lines>
  <Paragraphs>2</Paragraphs>
  <TotalTime>3</TotalTime>
  <ScaleCrop>false</ScaleCrop>
  <LinksUpToDate>false</LinksUpToDate>
  <CharactersWithSpaces>655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2017-06-16T09:43:00Z</dcterms:created>
  <dc:creator>Ken Xie</dc:creator>
  <cp:lastModifiedBy>抿晨</cp:lastModifiedBy>
  <dcterms:modified xsi:type="dcterms:W3CDTF">2026-05-03T02:27:57Z</dcterms:modified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2656F7A87B0B487E8A77881CD48FC05B_13</vt:lpwstr>
  </property>
  <property fmtid="{D5CDD505-2E9C-101B-9397-08002B2CF9AE}" pid="4" name="KSOTemplateDocerSaveRecord">
    <vt:lpwstr>eyJoZGlkIjoiZmRiMjc1MDVjMzExM2M4YmM5ZjNlMDI3ZjJlMGExMzciLCJ1c2VySWQiOiIxMDc5Njc4NjE1In0=</vt:lpwstr>
  </property>
</Properties>
</file>