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CivicMetrix Platform Whitepaper 2026</w:t>
      </w:r>
    </w:p>
    <w:p/>
    <w:p>
      <w:r>
        <w:t xml:space="preserve">Date: March 9, 2026 (UTC)</w:t>
      </w:r>
    </w:p>
    <w:p/>
    <w:p>
      <w:r>
        <w:t xml:space="preserve">1. Executive Thesis</w:t>
      </w:r>
    </w:p>
    <w:p/>
    <w:p>
      <w:r>
        <w:t xml:space="preserve">CivicMetrix is a multi-tenant civic data platform built to ingest municipal operational data, normalize it into tenant-scoped records, power internal dashboards, and publish public transparency experiences. It is materially beyond a concept prototype, but it is not yet production-ready or city-pilot-ready in its current live state.</w:t>
      </w:r>
    </w:p>
    <w:p/>
    <w:p>
      <w:r>
        <w:t xml:space="preserve">The current repository demonstrates real platform breadth: municipal domain modeling, queue-backed ingestion, staff operations dashboards, public dashboards, issue reporting, grants, infrastructure views, assistance reporting, worker orchestration, and observability foundations. The platform's immediate constraint is operational trust, not lack of product ambition.</w:t>
      </w:r>
    </w:p>
    <w:p/>
    <w:p>
      <w:r>
        <w:t xml:space="preserve">2. What Exists Today</w:t>
      </w:r>
    </w:p>
    <w:p/>
    <w:p>
      <w:r>
        <w:t xml:space="preserve">Implemented platform layers include:</w:t>
      </w:r>
    </w:p>
    <w:p>
      <w:r>
        <w:t xml:space="preserve">- tenant-aware Prisma domain model centered on Organization</w:t>
      </w:r>
    </w:p>
    <w:p>
      <w:r>
        <w:t xml:space="preserve">- staff dashboards for grants, issues, assets, operations, reports, assistance, and executive views</w:t>
      </w:r>
    </w:p>
    <w:p>
      <w:r>
        <w:t xml:space="preserve">- public dashboards under /public/[slug]</w:t>
      </w:r>
    </w:p>
    <w:p>
      <w:r>
        <w:t xml:space="preserve">- citizen issue reporting and citizen auth flows</w:t>
      </w:r>
    </w:p>
    <w:p>
      <w:r>
        <w:t xml:space="preserve">- upload parsing, mapping, planning, templates, import sessions, and datasource connectors</w:t>
      </w:r>
    </w:p>
    <w:p>
      <w:r>
        <w:t xml:space="preserve">- worker queues for ingestion, reminders, SLA jobs, maintenance, intelligence, and dead-letter handling</w:t>
      </w:r>
    </w:p>
    <w:p>
      <w:r>
        <w:t xml:space="preserve">- structured logging, health checks, readiness checks, Prometheus-style metrics, and queue metrics</w:t>
      </w:r>
    </w:p>
    <w:p/>
    <w:p>
      <w:r>
        <w:t xml:space="preserve">3. What the Audit Verified in Production</w:t>
      </w:r>
    </w:p>
    <w:p/>
    <w:p>
      <w:r>
        <w:t xml:space="preserve">The live production environment on civicmetrix.com is mixed:</w:t>
      </w:r>
    </w:p>
    <w:p>
      <w:r>
        <w:t xml:space="preserve">- the public Woodburn dashboard is reachable and renders meaningful municipal content</w:t>
      </w:r>
    </w:p>
    <w:p>
      <w:r>
        <w:t xml:space="preserve">- the public issue reporting page is reachable</w:t>
      </w:r>
    </w:p>
    <w:p>
      <w:r>
        <w:t xml:space="preserve">- the site root currently returns HTTP 500</w:t>
      </w:r>
    </w:p>
    <w:p>
      <w:r>
        <w:t xml:space="preserve">- local production runtime reproduces InvariantError: The manifests singleton was not initialized</w:t>
      </w:r>
    </w:p>
    <w:p/>
    <w:p>
      <w:r>
        <w:t xml:space="preserve">This means the platform can demonstrate product value, but cannot yet claim pilot readiness.</w:t>
      </w:r>
    </w:p>
    <w:p/>
    <w:p>
      <w:r>
        <w:t xml:space="preserve">4. Architecture Position</w:t>
      </w:r>
    </w:p>
    <w:p/>
    <w:p>
      <w:r>
        <w:t xml:space="preserve">CivicMetrix should be described as a pre-production municipal data operations platform.</w:t>
      </w:r>
    </w:p>
    <w:p/>
    <w:p>
      <w:r>
        <w:t xml:space="preserve">It is stronger than a dashboard template because it includes:</w:t>
      </w:r>
    </w:p>
    <w:p>
      <w:r>
        <w:t xml:space="preserve">- tenant context propagation</w:t>
      </w:r>
    </w:p>
    <w:p>
      <w:r>
        <w:t xml:space="preserve">- broad municipal schema coverage</w:t>
      </w:r>
    </w:p>
    <w:p>
      <w:r>
        <w:t xml:space="preserve">- queue-backed processing</w:t>
      </w:r>
    </w:p>
    <w:p>
      <w:r>
        <w:t xml:space="preserve">- recurring datasource synchronization</w:t>
      </w:r>
    </w:p>
    <w:p>
      <w:r>
        <w:t xml:space="preserve">- operational reporting surfaces</w:t>
      </w:r>
    </w:p>
    <w:p>
      <w:r>
        <w:t xml:space="preserve">- public transparency surfaces</w:t>
      </w:r>
    </w:p>
    <w:p/>
    <w:p>
      <w:r>
        <w:t xml:space="preserve">It is weaker than a government-grade platform because it still lacks:</w:t>
      </w:r>
    </w:p>
    <w:p>
      <w:r>
        <w:t xml:space="preserve">- stable production runtime behavior</w:t>
      </w:r>
    </w:p>
    <w:p>
      <w:r>
        <w:t xml:space="preserve">- hardened deployment workflow</w:t>
      </w:r>
    </w:p>
    <w:p>
      <w:r>
        <w:t xml:space="preserve">- strong failure recovery and rollback discipline</w:t>
      </w:r>
    </w:p>
    <w:p>
      <w:r>
        <w:t xml:space="preserve">- complete ingest reconciliation and operator tooling</w:t>
      </w:r>
    </w:p>
    <w:p>
      <w:r>
        <w:t xml:space="preserve">- full observability and alerting maturity</w:t>
      </w:r>
    </w:p>
    <w:p/>
    <w:p>
      <w:r>
        <w:t xml:space="preserve">5. Product Position</w:t>
      </w:r>
    </w:p>
    <w:p/>
    <w:p>
      <w:r>
        <w:t xml:space="preserve">The strongest current product story is the combination of:</w:t>
      </w:r>
    </w:p>
    <w:p>
      <w:r>
        <w:t xml:space="preserve">- public transparency dashboards</w:t>
      </w:r>
    </w:p>
    <w:p>
      <w:r>
        <w:t xml:space="preserve">- infrastructure and civic issue visualizations</w:t>
      </w:r>
    </w:p>
    <w:p>
      <w:r>
        <w:t xml:space="preserve">- grants reporting and funding views</w:t>
      </w:r>
    </w:p>
    <w:p>
      <w:r>
        <w:t xml:space="preserve">- citizen issue submission</w:t>
      </w:r>
    </w:p>
    <w:p>
      <w:r>
        <w:t xml:space="preserve">- city operations and executive dashboards</w:t>
      </w:r>
    </w:p>
    <w:p/>
    <w:p>
      <w:r>
        <w:t xml:space="preserve">This is enough for design-partner conversations and controlled demonstrations. It is not enough for external city pilot commitments while the root production route remains unstable.</w:t>
      </w:r>
    </w:p>
    <w:p/>
    <w:p>
      <w:r>
        <w:t xml:space="preserve">6. Strategic Recommendation</w:t>
      </w:r>
    </w:p>
    <w:p/>
    <w:p>
      <w:r>
        <w:t xml:space="preserve">The next year should be stabilization-first:</w:t>
      </w:r>
    </w:p>
    <w:p>
      <w:r>
        <w:t xml:space="preserve">- Phase 1: Platform Stabilization</w:t>
      </w:r>
    </w:p>
    <w:p>
      <w:r>
        <w:t xml:space="preserve">- Phase 2: Universal Data Ingestion Engine</w:t>
      </w:r>
    </w:p>
    <w:p>
      <w:r>
        <w:t xml:space="preserve">- Phase 3: Civic Intelligence Engine</w:t>
      </w:r>
    </w:p>
    <w:p>
      <w:r>
        <w:t xml:space="preserve">- Phase 4: Government Deployment Hardening</w:t>
      </w:r>
    </w:p>
    <w:p/>
    <w:p>
      <w:r>
        <w:t xml:space="preserve">Feature expansion should not outrank runtime stability, deployment safety, and ingest reliability.</w:t>
      </w:r>
    </w:p>
    <w:p/>
    <w:p>
      <w:r>
        <w:t xml:space="preserve">7. Updated Maturity View</w:t>
      </w:r>
    </w:p>
    <w:p/>
    <w:p>
      <w:r>
        <w:t xml:space="preserve">Maturity score: 61 / 100</w:t>
      </w:r>
    </w:p>
    <w:p>
      <w:r>
        <w:t xml:space="preserve">Classification: Pre-Production</w:t>
      </w:r>
    </w:p>
    <w:p/>
    <w:p>
      <w:r>
        <w:t xml:space="preserve">CivicMetrix has credible platform depth and a serious architectural base. The correct next move is not a rewrite. It is to harden what already exists until deployment behavior matches the promise of the codebase.</w:t>
      </w:r>
    </w:p>
    <w:sectPr>
      <w:pgSz w:w="12240" w:h="15840"/>
      <w:pgMar w:top="1440" w:right="1440" w:bottom="1440" w:left="1440" w:header="708" w:footer="708" w:gutter="0"/>
      <w:cols w:space="708"/>
      <w:docGrid w:linePitch="360"/>
    </w:sectPr>
  </w:body>
</w:document>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CivicMetrix Platform Whitepaper 2026</dc:title>
  <dc:creator>OpenAI Codex</dc:creator>
  <cp:lastModifiedBy>OpenAI Codex</cp:lastModifiedBy>
  <dcterms:created xsi:type="dcterms:W3CDTF">2026-03-09T21:27:25+00:00</dcterms:created>
  <dcterms:modified xsi:type="dcterms:W3CDTF">2026-03-09T21:27:25+00:00</dcterms:modified>
</cp:coreProperties>
</file>