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CivicMetrix Technical Evaluation Report 2026</w:t>
      </w:r>
    </w:p>
    <w:p>
      <w:pPr>
        <w:pStyle w:val="Subtitle"/>
      </w:pPr>
      <w:r>
        <w:t xml:space="preserve">Prepared for strategic, investment, and government stakeholder review</w:t>
      </w:r>
    </w:p>
    <w:p>
      <w:pPr>
        <w:pStyle w:val="Normal"/>
      </w:pPr>
      <w:r>
        <w:t xml:space="preserve">Date: March 08, 2026 (UTC)</w:t>
      </w:r>
    </w:p>
    <w:p>
      <w:r>
        <w:t xml:space="preserve"/>
      </w:r>
    </w:p>
    <w:p>
      <w:pPr>
        <w:pStyle w:val="Heading1"/>
      </w:pPr>
      <w:r>
        <w:t xml:space="preserve">1 Executive Summary</w:t>
      </w:r>
    </w:p>
    <w:p>
      <w:pPr>
        <w:pStyle w:val="Normal"/>
      </w:pPr>
      <w:r>
        <w:t xml:space="preserve">CivicMetrix has evolved into a credible civic operating platform with a defensible architecture for municipal operations, transparency, and analytics. The current platform demonstrates meaningful progress in multi-tenant data isolation, domain model depth, worker-based automation, and production-aware delivery practices.</w:t>
      </w:r>
      <w:r>
        <w:br/>
      </w:r>
      <w:r>
        <w:t xml:space="preserve"/>
      </w:r>
      <w:r>
        <w:br/>
      </w:r>
      <w:r>
        <w:t xml:space="preserve">From an investor and government stakeholder perspective, the platform is past prototype maturity and now sits in a controlled production stage. It shows clear product-market direction in civic intelligence and public accountability. The primary technical opportunity is to standardize tenant-safe data access patterns across all application surfaces so implementation consistency matches the strength of the underlying database controls.</w:t>
      </w:r>
    </w:p>
    <w:p>
      <w:pPr>
        <w:pStyle w:val="Heading1"/>
      </w:pPr>
      <w:r>
        <w:t xml:space="preserve">2 Platform Architecture</w:t>
      </w:r>
    </w:p>
    <w:p>
      <w:pPr>
        <w:pStyle w:val="Normal"/>
      </w:pPr>
      <w:r>
        <w:t xml:space="preserve">The platform is structured on Next.js App Router with clear route boundaries for operational staff, citizens, public transparency, and APIs. This separation aligns with least-privilege principles and creates a practical basis for independent policy and UX evolution.</w:t>
      </w:r>
      <w:r>
        <w:br/>
      </w:r>
      <w:r>
        <w:t xml:space="preserve"/>
      </w:r>
      <w:r>
        <w:br/>
      </w:r>
      <w:r>
        <w:t xml:space="preserve">Server component loaders are used for core dashboard and public views, while client components are reserved for interactive visualization surfaces such as maps and charts. The architecture supports progressive enhancement and limits unnecessary client-side data coupling.</w:t>
      </w:r>
    </w:p>
    <w:p>
      <w:pPr>
        <w:pStyle w:val="Heading1"/>
      </w:pPr>
      <w:r>
        <w:t xml:space="preserve">3 Multi-Tenant Safety Model</w:t>
      </w:r>
    </w:p>
    <w:p>
      <w:pPr>
        <w:pStyle w:val="Normal"/>
      </w:pPr>
      <w:r>
        <w:t xml:space="preserve">CivicMetrix uses PostgreSQL Row Level Security with tenant context (`app.current_tenant`) and composite tenant foreign keys to enforce isolation at the database boundary. This is a strong enterprise-grade decision.</w:t>
      </w:r>
      <w:r>
        <w:br/>
      </w:r>
      <w:r>
        <w:t xml:space="preserve"/>
      </w:r>
      <w:r>
        <w:br/>
      </w:r>
      <w:r>
        <w:t xml:space="preserve">The principal risk is implementation variance in application data access. Multiple patterns currently coexist (`db()`, `dbSystem()`, transaction helpers), which increases regression probability during ongoing feature delivery. The tenant model is fundamentally sound; governance and consistency controls must now be standardized.</w:t>
      </w:r>
    </w:p>
    <w:p>
      <w:pPr>
        <w:pStyle w:val="Heading1"/>
      </w:pPr>
      <w:r>
        <w:t xml:space="preserve">4 Data Architecture</w:t>
      </w:r>
    </w:p>
    <w:p>
      <w:pPr>
        <w:pStyle w:val="Normal"/>
      </w:pPr>
      <w:r>
        <w:t xml:space="preserve">The Prisma schema captures a broad civic domain: grants, issues, assets, work orders, budgets, programs, alerts, insights, and public transparency entities. The model supports both operational workflows and executive reporting.</w:t>
      </w:r>
      <w:r>
        <w:br/>
      </w:r>
      <w:r>
        <w:t xml:space="preserve"/>
      </w:r>
      <w:r>
        <w:br/>
      </w:r>
      <w:r>
        <w:t xml:space="preserve">Spatial capability is enabled through PostGIS, including geometry columns and indexes. To further improve maintainability and migration safety, schema/runtime alignment should be tightened where raw SQL fields are used outside Prisma model declarations.</w:t>
      </w:r>
    </w:p>
    <w:p>
      <w:pPr>
        <w:pStyle w:val="Heading1"/>
      </w:pPr>
      <w:r>
        <w:t xml:space="preserve">5 API Architecture</w:t>
      </w:r>
    </w:p>
    <w:p>
      <w:pPr>
        <w:pStyle w:val="Normal"/>
      </w:pPr>
      <w:r>
        <w:t xml:space="preserve">The API layer covers operational, public, and internal telemetry use cases with solid use of validation in many endpoints. Endpoint breadth is appropriate for a civic platform moving toward broader integration.</w:t>
      </w:r>
      <w:r>
        <w:br/>
      </w:r>
      <w:r>
        <w:t xml:space="preserve"/>
      </w:r>
      <w:r>
        <w:br/>
      </w:r>
      <w:r>
        <w:t xml:space="preserve">The next maturity step is response-contract standardization. Error and success envelopes should be normalized across all routes to simplify client integration, improve reliability, and enable stronger platform-level API governance.</w:t>
      </w:r>
    </w:p>
    <w:p>
      <w:pPr>
        <w:pStyle w:val="Heading1"/>
      </w:pPr>
      <w:r>
        <w:t xml:space="preserve">6 Civic Analytics Engine</w:t>
      </w:r>
    </w:p>
    <w:p>
      <w:pPr>
        <w:pStyle w:val="Normal"/>
      </w:pPr>
      <w:r>
        <w:t xml:space="preserve">CivicMetrix includes a practical analytics engine spanning KPI trends, grant risk signals, issue anomaly detection, and spatial clustering. This produces decision-support outputs that align with municipal management and council briefing needs.</w:t>
      </w:r>
      <w:r>
        <w:br/>
      </w:r>
      <w:r>
        <w:t xml:space="preserve"/>
      </w:r>
      <w:r>
        <w:br/>
      </w:r>
      <w:r>
        <w:t xml:space="preserve">The architecture is extensible and can support future model-based prioritization. In the near term, governance improvements around deduplication logic, signal confidence, and explainability metadata will strengthen trust for public-sector stakeholders.</w:t>
      </w:r>
    </w:p>
    <w:p>
      <w:pPr>
        <w:pStyle w:val="Heading1"/>
      </w:pPr>
      <w:r>
        <w:t xml:space="preserve">7 Frontend Dashboard System</w:t>
      </w:r>
    </w:p>
    <w:p>
      <w:pPr>
        <w:pStyle w:val="Normal"/>
      </w:pPr>
      <w:r>
        <w:t xml:space="preserve">The frontend stack combines server-rendered data loaders with interactive client visualizations using Mapbox GL and Recharts. Public and internal dashboard routes are well segmented and readable.</w:t>
      </w:r>
      <w:r>
        <w:br/>
      </w:r>
      <w:r>
        <w:t xml:space="preserve"/>
      </w:r>
      <w:r>
        <w:br/>
      </w:r>
      <w:r>
        <w:t xml:space="preserve">Current UX behavior demonstrates reliable rendering when data pipeline alignment is correct. Continued hardening should emphasize chart/map resiliency, production log hygiene, and strict data-contract checks at component boundaries.</w:t>
      </w:r>
    </w:p>
    <w:p>
      <w:pPr>
        <w:pStyle w:val="Heading1"/>
      </w:pPr>
      <w:r>
        <w:t xml:space="preserve">8 Worker &amp; Analytics Processing</w:t>
      </w:r>
    </w:p>
    <w:p>
      <w:pPr>
        <w:pStyle w:val="Normal"/>
      </w:pPr>
      <w:r>
        <w:t xml:space="preserve">Worker processing is built on BullMQ with queue segmentation by operational concern, repeatable schedules, retries, and dead-letter queue pathways. This is appropriate for asynchronous civic workflows and analytics jobs.</w:t>
      </w:r>
      <w:r>
        <w:br/>
      </w:r>
      <w:r>
        <w:t xml:space="preserve"/>
      </w:r>
      <w:r>
        <w:br/>
      </w:r>
      <w:r>
        <w:t xml:space="preserve">The worker subsystem is one of the stronger architectural components in the repository. Future investment should focus on SLO instrumentation, queue-level backpressure policies, and explicit replay/recovery operational runbooks.</w:t>
      </w:r>
    </w:p>
    <w:p>
      <w:pPr>
        <w:pStyle w:val="Heading1"/>
      </w:pPr>
      <w:r>
        <w:t xml:space="preserve">9 Security Posture</w:t>
      </w:r>
    </w:p>
    <w:p>
      <w:pPr>
        <w:pStyle w:val="Normal"/>
      </w:pPr>
      <w:r>
        <w:t xml:space="preserve">Security controls include RLS, auth segmentation, scoped API tokens, baseline header hardening, and rate-limiting layers. The platform demonstrates clear security intent and implementation depth for its stage.</w:t>
      </w:r>
      <w:r>
        <w:br/>
      </w:r>
      <w:r>
        <w:t xml:space="preserve"/>
      </w:r>
      <w:r>
        <w:br/>
      </w:r>
      <w:r>
        <w:t xml:space="preserve">Remaining work is primarily policy consistency: unify rate-limit strategy, reduce optional fail-open cases for sensitive routes, and continue tightening content security policy while preserving required map integrations.</w:t>
      </w:r>
    </w:p>
    <w:p>
      <w:pPr>
        <w:pStyle w:val="Heading1"/>
      </w:pPr>
      <w:r>
        <w:t xml:space="preserve">10 Deployment Architecture</w:t>
      </w:r>
    </w:p>
    <w:p>
      <w:pPr>
        <w:pStyle w:val="Normal"/>
      </w:pPr>
      <w:r>
        <w:t xml:space="preserve">Deployment is currently pragmatic: Next.js runtime, PM2 process control, Redis-backed workers, PostgreSQL/PostGIS data layer, and NGINX reverse proxy operation. CI runs migration and quality gates before release paths.</w:t>
      </w:r>
      <w:r>
        <w:br/>
      </w:r>
      <w:r>
        <w:t xml:space="preserve"/>
      </w:r>
      <w:r>
        <w:br/>
      </w:r>
      <w:r>
        <w:t xml:space="preserve">For institutional deployments, the next step is stronger release orchestration: formalized promotion environments, deterministic rollback, and codified infrastructure configuration with repeatable operational controls.</w:t>
      </w:r>
    </w:p>
    <w:p>
      <w:pPr>
        <w:pStyle w:val="Heading1"/>
      </w:pPr>
      <w:r>
        <w:t xml:space="preserve">11 Observability</w:t>
      </w:r>
    </w:p>
    <w:p>
      <w:pPr>
        <w:pStyle w:val="Normal"/>
      </w:pPr>
      <w:r>
        <w:t xml:space="preserve">The platform provides structured logging, request and DB telemetry, worker failure tracking, and metrics endpoints. This gives a workable baseline for production diagnostics and performance tracking.</w:t>
      </w:r>
      <w:r>
        <w:br/>
      </w:r>
      <w:r>
        <w:t xml:space="preserve"/>
      </w:r>
      <w:r>
        <w:br/>
      </w:r>
      <w:r>
        <w:t xml:space="preserve">To support government-grade operations at scale, metrics persistence and distributed tracing should be expanded. Current in-memory counters are useful for immediate visibility but insufficient for longitudinal analytics and incident forensics.</w:t>
      </w:r>
    </w:p>
    <w:p>
      <w:pPr>
        <w:pStyle w:val="Heading1"/>
      </w:pPr>
      <w:r>
        <w:t xml:space="preserve">12 Performance Characteristics</w:t>
      </w:r>
    </w:p>
    <w:p>
      <w:pPr>
        <w:pStyle w:val="Normal"/>
      </w:pPr>
      <w:r>
        <w:t xml:space="preserve">CivicMetrix uses targeted indexes for common query paths and worker scans, with spatial indexing for map workflows. This is a strong fit for mixed operational and analytical workloads.</w:t>
      </w:r>
      <w:r>
        <w:br/>
      </w:r>
      <w:r>
        <w:t xml:space="preserve"/>
      </w:r>
      <w:r>
        <w:br/>
      </w:r>
      <w:r>
        <w:t xml:space="preserve">Performance risk is less about raw query capability and more about consistency in tenant session context and data-loading patterns. Standardizing these pathways will reduce latency variance and improve predictability under higher concurrency.</w:t>
      </w:r>
    </w:p>
    <w:p>
      <w:pPr>
        <w:pStyle w:val="Heading1"/>
      </w:pPr>
      <w:r>
        <w:t xml:space="preserve">13 Current Maturity Score</w:t>
      </w:r>
    </w:p>
    <w:p>
      <w:pPr>
        <w:pStyle w:val="Normal"/>
      </w:pPr>
      <w:r>
        <w:t xml:space="preserve">Overall Technical Maturity: 7.6 / 10</w:t>
      </w:r>
      <w:r>
        <w:br/>
      </w:r>
      <w:r>
        <w:t xml:space="preserve"/>
      </w:r>
      <w:r>
        <w:br/>
      </w:r>
      <w:r>
        <w:t xml:space="preserve">Interpretation:</w:t>
      </w:r>
      <w:r>
        <w:br/>
      </w:r>
      <w:r>
        <w:t xml:space="preserve">- Strong domain and platform foundations</w:t>
      </w:r>
      <w:r>
        <w:br/>
      </w:r>
      <w:r>
        <w:t xml:space="preserve">- Credible production posture for controlled environments</w:t>
      </w:r>
      <w:r>
        <w:br/>
      </w:r>
      <w:r>
        <w:t xml:space="preserve">- Requires consistency hardening and operational standardization for high-assurance deployments</w:t>
      </w:r>
    </w:p>
    <w:p>
      <w:pPr>
        <w:pStyle w:val="Heading1"/>
      </w:pPr>
      <w:r>
        <w:t xml:space="preserve">14 Production Readiness</w:t>
      </w:r>
    </w:p>
    <w:p>
      <w:pPr>
        <w:pStyle w:val="Normal"/>
      </w:pPr>
      <w:r>
        <w:t xml:space="preserve">Current classification: Conditionally Production-Ready.</w:t>
      </w:r>
      <w:r>
        <w:br/>
      </w:r>
      <w:r>
        <w:t xml:space="preserve"/>
      </w:r>
      <w:r>
        <w:br/>
      </w:r>
      <w:r>
        <w:t xml:space="preserve">The platform is suitable for controlled production operation and pilot expansion. For broad government deployment, readiness should be upgraded through standardized tenant access governance, unified API contracts, stronger release controls, and persistent observability infrastructure.</w:t>
      </w:r>
    </w:p>
    <w:p>
      <w:pPr>
        <w:pStyle w:val="Heading1"/>
      </w:pPr>
      <w:r>
        <w:t xml:space="preserve">15 Scaling Model</w:t>
      </w:r>
    </w:p>
    <w:p>
      <w:pPr>
        <w:pStyle w:val="Normal"/>
      </w:pPr>
      <w:r>
        <w:t xml:space="preserve">Near-term scaling (1x to 5x current traffic) is supportable on the current architecture. Mid-term scaling (5x to 20x) will require stricter platform conventions to prevent implementation drift and maintain predictable operations.</w:t>
      </w:r>
      <w:r>
        <w:br/>
      </w:r>
      <w:r>
        <w:t xml:space="preserve"/>
      </w:r>
      <w:r>
        <w:br/>
      </w:r>
      <w:r>
        <w:t xml:space="preserve">Long-term scaling depends on institutional-grade telemetry, release automation, queue SLO governance, and data-contract discipline across product surfaces and integrations.</w:t>
      </w:r>
    </w:p>
    <w:p>
      <w:pPr>
        <w:pStyle w:val="Heading1"/>
      </w:pPr>
      <w:r>
        <w:t xml:space="preserve">16 Government Product Strategy</w:t>
      </w:r>
    </w:p>
    <w:p>
      <w:pPr>
        <w:pStyle w:val="Normal"/>
      </w:pPr>
      <w:r>
        <w:t xml:space="preserve">CivicMetrix is well positioned as a civic intelligence and transparency platform that bridges operational execution with public accountability. The strongest strategic differentiator is the combination of internal workflow intelligence and externally visible trust artifacts.</w:t>
      </w:r>
      <w:r>
        <w:br/>
      </w:r>
      <w:r>
        <w:t xml:space="preserve"/>
      </w:r>
      <w:r>
        <w:br/>
      </w:r>
      <w:r>
        <w:t xml:space="preserve">Product direction should prioritize measurable outcomes for city leadership: service reliability, grant stewardship quality, infrastructure health transparency, and defensible auditability.</w:t>
      </w:r>
    </w:p>
    <w:p>
      <w:pPr>
        <w:pStyle w:val="Heading1"/>
      </w:pPr>
      <w:r>
        <w:t xml:space="preserve">17 Recommended Next Development Phase</w:t>
      </w:r>
    </w:p>
    <w:p>
      <w:pPr>
        <w:pStyle w:val="Normal"/>
      </w:pPr>
      <w:r>
        <w:t xml:space="preserve">Phase objective: Standardization and Trust Hardening.</w:t>
      </w:r>
      <w:r>
        <w:br/>
      </w:r>
      <w:r>
        <w:t xml:space="preserve"/>
      </w:r>
      <w:r>
        <w:br/>
      </w:r>
      <w:r>
        <w:t xml:space="preserve">Priority initiatives:</w:t>
      </w:r>
      <w:r>
        <w:br/>
      </w:r>
      <w:r>
        <w:t xml:space="preserve">1. Enforce a single tenant-safe data access pattern platform-wide.</w:t>
      </w:r>
      <w:r>
        <w:br/>
      </w:r>
      <w:r>
        <w:t xml:space="preserve">2. Eliminate schema/runtime drift in spatial and raw SQL paths.</w:t>
      </w:r>
      <w:r>
        <w:br/>
      </w:r>
      <w:r>
        <w:t xml:space="preserve">3. Standardize API response and error contracts.</w:t>
      </w:r>
      <w:r>
        <w:br/>
      </w:r>
      <w:r>
        <w:t xml:space="preserve">4. Consolidate rate-limiting policy and endpoint risk tiers.</w:t>
      </w:r>
      <w:r>
        <w:br/>
      </w:r>
      <w:r>
        <w:t xml:space="preserve">5. Upgrade observability to durable metrics plus distributed tracing.</w:t>
      </w:r>
      <w:r>
        <w:br/>
      </w:r>
      <w:r>
        <w:t xml:space="preserve">6. Introduce release runbooks with automated rollback and post-deploy verification.</w:t>
      </w:r>
      <w:r>
        <w:br/>
      </w:r>
      <w:r>
        <w:t xml:space="preserve"/>
      </w:r>
      <w:r>
        <w:br/>
      </w:r>
      <w:r>
        <w:t xml:space="preserve">Expected outcome: readiness transition from controlled production to enterprise-grade municipal deployment confidence.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40"/>
    </w:rPr>
  </w:style>
  <w:style w:type="paragraph" w:styleId="Subtitle">
    <w:name w:val="Subtitle"/>
    <w:basedOn w:val="Normal"/>
    <w:rPr>
      <w:i/>
      <w:sz w:val="24"/>
    </w:rPr>
  </w:style>
  <w:style w:type="paragraph" w:styleId="Heading1">
    <w:name w:val="heading 1"/>
    <w:basedOn w:val="Normal"/>
    <w:qFormat/>
    <w:rPr>
      <w:b/>
      <w:sz w:val="3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CivicMetrix</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CivicMetrix Technical Evaluation Report 2026</dc:title>
  <dc:subject>Civic platform technical evaluation</dc:subject>
  <dc:creator>Codex</dc:creator>
  <cp:keywords>CivicMetrix, technical evaluation, multi-tenant, RLS, analytics</cp:keywords>
  <dc:description>Professional technical whitepaper for investors and government stakeholders.</dc:description>
  <cp:lastModifiedBy>Codex</cp:lastModifiedBy>
  <dcterms:created xsi:type="dcterms:W3CDTF">2026-03-08T22:16:23Z</dcterms:created>
  <dcterms:modified xsi:type="dcterms:W3CDTF">2026-03-08T22:16:23Z</dcterms:modified>
</cp:coreProperties>
</file>