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I’ve learned the importance of adopting secure coding standards early in the development process rather than leaving security as an afterthought. Secure coding standards, such as the SEI CERT C++ guidelines, provide a consistent foundation that helps developers avoid common vulnerabilities like buffer overflows, SQL injection, and improper memory management. Building these standards into the development lifecycle ensures that security is integrated from the start, reducing the risk of introducing critical flaws that are far more expensive to fix later.</w:t>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risks and conducting cost-benefit assessments has shown me that not every vulnerability requires the same urgency, but high-severity issues with a high likelihood of exploitation must be prioritized. For example, SQL injection is both high risk and relatively easy to mitigate using parameterized queries. The long-term cost of preventing these vulnerabilities upfront is far lower than dealing with breaches or system downtime after deployment.</w:t>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Zero Trust model reinforces this proactive approach by eliminating assumptions of trust at any layer, even within internal networks. Every user, device, and service must continuously authenticate and prove authorization. While this may add some friction for users, it greatly limits the potential for lateral movement by attackers, strengthening overall system security.</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these security policies requires a balance of technical controls and organizational discipline. Policies for encryption, authentication, authorization, and detailed accounting ensure that data remains protected both in transit and at rest. My recommendation is to continue integrating automated security tools into the DevSecOps pipeline, provide ongoing developer training, and adopt advanced testing methods like fuzz testing and formal threat modeling. This layered, defense-in-depth approach ensures that security remains a continuous priority as systems evolve.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