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sz w:val="40"/>
        </w:rPr>
        <w:t>Skill Evolution Format Fixture</w:t>
      </w:r>
    </w:p>
    <w:p>
      <w:pPr>
        <w:spacing w:after="40"/>
      </w:pPr>
      <w:r>
        <w:rPr>
          <w:b/>
        </w:rPr>
        <w:t xml:space="preserve">Version: </w:t>
      </w:r>
      <w:r>
        <w:t>1.2</w:t>
      </w:r>
    </w:p>
    <w:p>
      <w:pPr>
        <w:spacing w:after="40"/>
      </w:pPr>
      <w:r>
        <w:rPr>
          <w:b/>
        </w:rPr>
        <w:t xml:space="preserve">Effective date: </w:t>
      </w:r>
      <w:r>
        <w:t>2026-07-26</w:t>
      </w:r>
    </w:p>
    <w:p>
      <w:pPr>
        <w:spacing w:after="40"/>
      </w:pPr>
      <w:r>
        <w:rPr>
          <w:b/>
        </w:rPr>
        <w:t xml:space="preserve">Replay budget: </w:t>
      </w:r>
      <w:r>
        <w:t>13 runs</w:t>
      </w:r>
    </w:p>
    <w:p>
      <w:pPr>
        <w:spacing w:after="40"/>
      </w:pPr>
      <w:r>
        <w:rPr>
          <w:b/>
        </w:rPr>
        <w:t xml:space="preserve">Reference: </w:t>
      </w:r>
      <w:r>
        <w:t>https://example.org/skill-evolution/policy</w:t>
      </w:r>
    </w:p>
    <w:p>
      <w:pPr>
        <w:pStyle w:val="Heading1"/>
      </w:pPr>
      <w:r>
        <w:t>Decision</w:t>
      </w:r>
    </w:p>
    <w:p>
      <w:r>
        <w:t>Automatic candidate replay must stop when sandbox preflight fails. It must never fall back to the host.</w:t>
      </w:r>
    </w:p>
    <w:p>
      <w:pPr>
        <w:pStyle w:val="Heading1"/>
      </w:pPr>
      <w:r>
        <w:t>Constraints</w:t>
      </w:r>
    </w:p>
    <w:p>
      <w:r>
        <w:t>Correctness and capability coverage are hard constraints.</w:t>
      </w:r>
    </w:p>
    <w:p>
      <w:r>
        <w:t>Every candidate and failed attempt remains visible.</w:t>
      </w:r>
    </w:p>
    <w:p>
      <w:r>
        <w:t>Only a human may approve release of a candidate skill.</w:t>
      </w:r>
    </w:p>
    <w:p>
      <w:pPr>
        <w:pStyle w:val="Heading1"/>
      </w:pPr>
      <w:r>
        <w:t>Metrics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3510"/>
        <w:gridCol w:w="3510"/>
      </w:tblGrid>
      <w:tr>
        <w:tc>
          <w:tcPr>
            <w:tcW w:type="dxa" w:w="2340"/>
            <w:vAlign w:val="center"/>
            <w:shd w:fill="F2F4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510"/>
            <w:vAlign w:val="center"/>
            <w:shd w:fill="F2F4F7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3510"/>
            <w:vAlign w:val="center"/>
            <w:shd w:fill="F2F4F7"/>
          </w:tcPr>
          <w:p>
            <w:r>
              <w:rPr>
                <w:b/>
              </w:rPr>
              <w:t>Guardrail</w:t>
            </w:r>
          </w:p>
        </w:tc>
      </w:tr>
      <w:tr>
        <w:tc>
          <w:tcPr>
            <w:tcW w:type="dxa" w:w="2340"/>
            <w:vAlign w:val="center"/>
          </w:tcPr>
          <w:p>
            <w:r>
              <w:t>Correctness</w:t>
            </w:r>
          </w:p>
        </w:tc>
        <w:tc>
          <w:tcPr>
            <w:tcW w:type="dxa" w:w="3510"/>
            <w:vAlign w:val="center"/>
          </w:tcPr>
          <w:p>
            <w:r>
              <w:t>Required</w:t>
            </w:r>
          </w:p>
        </w:tc>
        <w:tc>
          <w:tcPr>
            <w:tcW w:type="dxa" w:w="3510"/>
            <w:vAlign w:val="center"/>
          </w:tcPr>
          <w:p>
            <w:r>
              <w:t>No regression</w:t>
            </w:r>
          </w:p>
        </w:tc>
      </w:tr>
      <w:tr>
        <w:tc>
          <w:tcPr>
            <w:tcW w:type="dxa" w:w="2340"/>
            <w:vAlign w:val="center"/>
          </w:tcPr>
          <w:p>
            <w:r>
              <w:t>Token usage</w:t>
            </w:r>
          </w:p>
        </w:tc>
        <w:tc>
          <w:tcPr>
            <w:tcW w:type="dxa" w:w="3510"/>
            <w:vAlign w:val="center"/>
          </w:tcPr>
          <w:p>
            <w:r>
              <w:t>Measured by component</w:t>
            </w:r>
          </w:p>
        </w:tc>
        <w:tc>
          <w:tcPr>
            <w:tcW w:type="dxa" w:w="3510"/>
            <w:vAlign w:val="center"/>
          </w:tcPr>
          <w:p>
            <w:r>
              <w:t>Report variance</w:t>
            </w:r>
          </w:p>
        </w:tc>
      </w:tr>
      <w:tr>
        <w:tc>
          <w:tcPr>
            <w:tcW w:type="dxa" w:w="2340"/>
            <w:vAlign w:val="center"/>
          </w:tcPr>
          <w:p>
            <w:r>
              <w:t>Duration</w:t>
            </w:r>
          </w:p>
        </w:tc>
        <w:tc>
          <w:tcPr>
            <w:tcW w:type="dxa" w:w="3510"/>
            <w:vAlign w:val="center"/>
          </w:tcPr>
          <w:p>
            <w:r>
              <w:t>Measured per run</w:t>
            </w:r>
          </w:p>
        </w:tc>
        <w:tc>
          <w:tcPr>
            <w:tcW w:type="dxa" w:w="3510"/>
            <w:vAlign w:val="center"/>
          </w:tcPr>
          <w:p>
            <w:r>
              <w:t>Report outliers</w:t>
            </w:r>
          </w:p>
        </w:tc>
      </w:tr>
    </w:tbl>
    <w:p>
      <w:pPr>
        <w:pStyle w:val="Heading1"/>
      </w:pPr>
      <w:r>
        <w:t>Limitation</w:t>
      </w:r>
    </w:p>
    <w:p>
      <w:r>
        <w:t>Visual preference is not inferred from deterministic metrics; screenshots require human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