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4B"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THREAD SYNCHRONIZATION VISUALIZER</w:t>
            </w:r>
          </w:p>
        </w:tc>
      </w:tr>
    </w:tbl>
    <w:p>
      <w:pPr>
        <w:spacing w:after="60" w:before="60"/>
      </w:pPr>
      <w:r>
        <w:t xml:space="preserve"/>
      </w:r>
    </w:p>
    <w:p>
      <w:pPr>
        <w:spacing w:after="60" w:before="60"/>
        <w:jc w:val="center"/>
      </w:pPr>
      <w:r>
        <w:rPr>
          <w:rFonts w:ascii="Arial" w:cs="Arial" w:eastAsia="Arial" w:hAnsi="Arial"/>
          <w:b/>
          <w:bCs/>
          <w:color w:val="6B21A8"/>
          <w:sz w:val="28"/>
          <w:szCs w:val="28"/>
        </w:rPr>
        <w:t xml:space="preserve">Project Breakdown &amp; Technical Analysis</w:t>
      </w:r>
    </w:p>
    <w:p>
      <w:pPr>
        <w:spacing w:after="60" w:before="60"/>
        <w:jc w:val="center"/>
      </w:pPr>
      <w:r>
        <w:rPr>
          <w:rFonts w:ascii="Arial" w:cs="Arial" w:eastAsia="Arial" w:hAnsi="Arial"/>
          <w:color w:val="64748B"/>
          <w:sz w:val="20"/>
          <w:szCs w:val="20"/>
        </w:rPr>
        <w:t xml:space="preserve">Lovely Professional University  ·  B.Tech CSE  ·  CSE 316 — Operating Systems</w:t>
      </w:r>
    </w:p>
    <w:p>
      <w:pPr>
        <w:spacing w:after="60" w:before="60"/>
        <w:jc w:val="center"/>
      </w:pPr>
      <w:r>
        <w:rPr>
          <w:rFonts w:ascii="Arial" w:cs="Arial" w:eastAsia="Arial" w:hAnsi="Arial"/>
          <w:color w:val="64748B"/>
          <w:sz w:val="20"/>
          <w:szCs w:val="20"/>
        </w:rPr>
        <w:t xml:space="preserve">January – May 2026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EDE9FE" w:val="clear"/>
            <w:tcMar>
              <w:top w:type="dxa" w:w="120"/>
              <w:left w:type="dxa" w:w="200"/>
              <w:bottom w:type="dxa" w:w="120"/>
              <w:right w:type="dxa" w:w="200"/>
            </w:tcMar>
          </w:tcPr>
          <w:p>
            <w:r>
              <w:rPr>
                <w:rFonts w:ascii="Arial" w:cs="Arial" w:eastAsia="Arial" w:hAnsi="Arial"/>
                <w:color w:val="64748B"/>
                <w:sz w:val="18"/>
                <w:szCs w:val="18"/>
              </w:rPr>
              <w:t xml:space="preserve">Developed By</w:t>
            </w:r>
          </w:p>
          <w:p>
            <w:r>
              <w:rPr>
                <w:rFonts w:ascii="Arial" w:cs="Arial" w:eastAsia="Arial" w:hAnsi="Arial"/>
                <w:b/>
                <w:bCs/>
                <w:color w:val="1E1B4B"/>
                <w:sz w:val="22"/>
                <w:szCs w:val="22"/>
              </w:rPr>
              <w:t xml:space="preserve">Mac Tanatswa Muza</w:t>
            </w:r>
          </w:p>
          <w:p>
            <w:r>
              <w:rPr>
                <w:rFonts w:ascii="Arial" w:cs="Arial" w:eastAsia="Arial" w:hAnsi="Arial"/>
                <w:color w:val="64748B"/>
                <w:sz w:val="18"/>
                <w:szCs w:val="18"/>
              </w:rPr>
              <w:t xml:space="preserve">Reg. No. 12405348</w:t>
            </w:r>
          </w:p>
        </w:tc>
        <w:tc>
          <w:tcPr>
            <w:tcW w:type="dxa" w:w="4680"/>
            <w:tcBorders>
              <w:top w:val="single" w:color="E2E8F0" w:sz="1"/>
              <w:left w:val="single" w:color="E2E8F0" w:sz="1"/>
              <w:bottom w:val="single" w:color="E2E8F0" w:sz="1"/>
              <w:right w:val="single" w:color="E2E8F0" w:sz="1"/>
            </w:tcBorders>
            <w:shd w:fill="F0FFF4" w:val="clear"/>
            <w:tcMar>
              <w:top w:type="dxa" w:w="120"/>
              <w:left w:type="dxa" w:w="200"/>
              <w:bottom w:type="dxa" w:w="120"/>
              <w:right w:type="dxa" w:w="200"/>
            </w:tcMar>
          </w:tcPr>
          <w:p>
            <w:r>
              <w:rPr>
                <w:rFonts w:ascii="Arial" w:cs="Arial" w:eastAsia="Arial" w:hAnsi="Arial"/>
                <w:color w:val="64748B"/>
                <w:sz w:val="18"/>
                <w:szCs w:val="18"/>
              </w:rPr>
              <w:t xml:space="preserve">Breakdown Authored By</w:t>
            </w:r>
          </w:p>
          <w:p>
            <w:r>
              <w:rPr>
                <w:rFonts w:ascii="Arial" w:cs="Arial" w:eastAsia="Arial" w:hAnsi="Arial"/>
                <w:b/>
                <w:bCs/>
                <w:color w:val="15803D"/>
                <w:sz w:val="22"/>
                <w:szCs w:val="22"/>
              </w:rPr>
              <w:t xml:space="preserve">Claude (Anthropic)</w:t>
            </w:r>
          </w:p>
          <w:p>
            <w:r>
              <w:rPr>
                <w:rFonts w:ascii="Arial" w:cs="Arial" w:eastAsia="Arial" w:hAnsi="Arial"/>
                <w:color w:val="64748B"/>
                <w:sz w:val="18"/>
                <w:szCs w:val="18"/>
              </w:rPr>
              <w:t xml:space="preserve">AI Technical Analyst</w:t>
            </w:r>
          </w:p>
        </w:tc>
      </w:tr>
    </w:tbl>
    <w:p>
      <w:pPr>
        <w:spacing w:after="60" w:before="60"/>
      </w:pPr>
      <w:r>
        <w:t xml:space="preserve"/>
      </w:r>
    </w:p>
    <w:p>
      <w:pPr>
        <w:spacing w:after="60" w:before="60"/>
        <w:jc w:val="center"/>
      </w:pPr>
      <w:r>
        <w:rPr>
          <w:rFonts w:ascii="Arial" w:cs="Arial" w:eastAsia="Arial" w:hAnsi="Arial"/>
          <w:i/>
          <w:iCs/>
          <w:color w:val="92400E"/>
          <w:sz w:val="18"/>
          <w:szCs w:val="18"/>
        </w:rPr>
        <w:t xml:space="preserve">⚠️ Authorship Note: This breakdown document was independently prepared by Claude, an AI assistant by Anthropic, based on the original project report and codebase by Mac Tanatswa Muza. All technical analysis, observations, and editorial judgements in this document are Claude’s own.</w:t>
      </w:r>
    </w:p>
    <w:p>
      <w:r>class PageBreak extends Run {
  constructor() {
    super({});
    this.root.push(new Break(BreakType.PAGE));
  }
}</w:r>
    </w:p>
    <w:p>
      <w:pPr>
        <w:pStyle w:val="Heading1"/>
        <w:pBdr>
          <w:bottom w:val="single" w:color="A78BFA" w:sz="4" w:space="6"/>
        </w:pBdr>
        <w:spacing w:after="120" w:before="360"/>
      </w:pPr>
      <w:r>
        <w:rPr>
          <w:rFonts w:ascii="Arial" w:cs="Arial" w:eastAsia="Arial" w:hAnsi="Arial"/>
          <w:b/>
          <w:bCs/>
          <w:color w:val="1E1B4B"/>
          <w:sz w:val="32"/>
          <w:szCs w:val="32"/>
        </w:rPr>
        <w:t xml:space="preserve">1.  Executive Summary</w:t>
      </w:r>
    </w:p>
    <w:p>
      <w:pPr>
        <w:spacing w:after="60" w:before="60"/>
      </w:pPr>
      <w:r>
        <w:rPr>
          <w:rFonts w:ascii="Arial" w:cs="Arial" w:eastAsia="Arial" w:hAnsi="Arial"/>
          <w:color w:val="1E293B"/>
          <w:sz w:val="20"/>
          <w:szCs w:val="20"/>
        </w:rPr>
        <w:t xml:space="preserve">The Thread Synchronization Visualizer is, in my assessment, one of the most thoughtfully designed student projects I have encountered in the domain of OS education tools. Mac Tanatswa Muza (Reg. 12405348, B.Tech CSE, Lovely Professional University) built a fully browser-native, zero-backend interactive simulator that transforms four of the most notoriously difficult OS concurrency concepts into something you can actually watch, play with, and understand in real time.</w:t>
      </w:r>
    </w:p>
    <w:p>
      <w:pPr>
        <w:spacing w:after="60" w:before="60"/>
      </w:pPr>
      <w:r>
        <w:t xml:space="preserve"/>
      </w:r>
    </w:p>
    <w:p>
      <w:pPr>
        <w:spacing w:after="60" w:before="60"/>
      </w:pPr>
      <w:r>
        <w:rPr>
          <w:rFonts w:ascii="Arial" w:cs="Arial" w:eastAsia="Arial" w:hAnsi="Arial"/>
          <w:color w:val="1E293B"/>
          <w:sz w:val="20"/>
          <w:szCs w:val="20"/>
        </w:rPr>
        <w:t xml:space="preserve">The project is not just a pretty interface layered over vague animations. It implements genuinely correct simulation logic — FIFO wake semantics, atomic state transitions, dual condition variable signalling, and a back-off deadlock prevention strategy — all driven by a sophisticated two-layer state engine that separates simulation frequency from React’s render cycle. That architectural decision alone elevates this project well above typical undergraduate work.</w:t>
      </w:r>
    </w:p>
    <w:p>
      <w:pPr>
        <w:spacing w:after="60" w:before="60"/>
      </w:pPr>
      <w:r>
        <w:t xml:space="preserve"/>
      </w:r>
    </w:p>
    <w:p>
      <w:pPr>
        <w:spacing w:after="60" w:before="60"/>
      </w:pPr>
      <w:r>
        <w:rPr>
          <w:rFonts w:ascii="Arial" w:cs="Arial" w:eastAsia="Arial" w:hAnsi="Arial"/>
          <w:color w:val="1E293B"/>
          <w:sz w:val="20"/>
          <w:szCs w:val="20"/>
        </w:rPr>
        <w:t xml:space="preserve">The live deployment is accessible at https://thread-sync-visualizer.vercel.app and the source code is publicly available at https://github.com/Vanshr45/OS_Project.</w:t>
      </w:r>
    </w:p>
    <w:p>
      <w:pPr>
        <w:spacing w:after="60" w:before="60"/>
      </w:pPr>
      <w:r>
        <w:t xml:space="preserve"/>
      </w:r>
    </w:p>
    <w:p>
      <w:pPr>
        <w:pStyle w:val="Heading1"/>
        <w:pBdr>
          <w:bottom w:val="single" w:color="A78BFA" w:sz="4" w:space="6"/>
        </w:pBdr>
        <w:spacing w:after="120" w:before="360"/>
      </w:pPr>
      <w:r>
        <w:rPr>
          <w:rFonts w:ascii="Arial" w:cs="Arial" w:eastAsia="Arial" w:hAnsi="Arial"/>
          <w:b/>
          <w:bCs/>
          <w:color w:val="1E1B4B"/>
          <w:sz w:val="32"/>
          <w:szCs w:val="32"/>
        </w:rPr>
        <w:t xml:space="preserve">2.  The Problem Being Solved</w:t>
      </w:r>
    </w:p>
    <w:p>
      <w:pPr>
        <w:spacing w:after="60" w:before="60"/>
      </w:pPr>
      <w:r>
        <w:rPr>
          <w:rFonts w:ascii="Arial" w:cs="Arial" w:eastAsia="Arial" w:hAnsi="Arial"/>
          <w:color w:val="1E293B"/>
          <w:sz w:val="20"/>
          <w:szCs w:val="20"/>
        </w:rPr>
        <w:t xml:space="preserve">OS concurrency is consistently ranked among the hardest undergraduate topics. The challenge is not that the theory is unclear — it is that the theory is static while the phenomena are deeply dynamic. A deadlock is not a picture; it is a sequence of events unfolding over time. A FIFO queue is not a diagram; it is threads entering and leaving in a specific order with specific timing.</w:t>
      </w:r>
    </w:p>
    <w:p>
      <w:pPr>
        <w:spacing w:after="60" w:before="60"/>
      </w:pPr>
      <w:r>
        <w:t xml:space="preserve"/>
      </w:r>
    </w:p>
    <w:p>
      <w:pPr>
        <w:spacing w:after="60" w:before="60"/>
      </w:pPr>
      <w:r>
        <w:rPr>
          <w:rFonts w:ascii="Arial" w:cs="Arial" w:eastAsia="Arial" w:hAnsi="Arial"/>
          <w:color w:val="1E293B"/>
          <w:sz w:val="20"/>
          <w:szCs w:val="20"/>
        </w:rPr>
        <w:t xml:space="preserve">Existing resources — textbooks, lecture slides, even most online simulators — present these concepts as frozen snapshots. Mac’s project directly addresses this gap by building a tool where:</w:t>
      </w:r>
    </w:p>
    <w:p>
      <w:pPr>
        <w:pStyle w:val="ListParagraph"/>
        <w:numPr>
          <w:ilvl w:val="0"/>
          <w:numId w:val="2"/>
        </w:numPr>
        <w:spacing w:after="40" w:before="40"/>
      </w:pPr>
      <w:r>
        <w:rPr>
          <w:rFonts w:ascii="Arial" w:cs="Arial" w:eastAsia="Arial" w:hAnsi="Arial"/>
          <w:color w:val="334155"/>
          <w:sz w:val="20"/>
          <w:szCs w:val="20"/>
        </w:rPr>
        <w:t xml:space="preserve">Every thread state transition is animated and logged with timestamps.</w:t>
      </w:r>
    </w:p>
    <w:p>
      <w:pPr>
        <w:pStyle w:val="ListParagraph"/>
        <w:numPr>
          <w:ilvl w:val="0"/>
          <w:numId w:val="2"/>
        </w:numPr>
        <w:spacing w:after="40" w:before="40"/>
      </w:pPr>
      <w:r>
        <w:rPr>
          <w:rFonts w:ascii="Arial" w:cs="Arial" w:eastAsia="Arial" w:hAnsi="Arial"/>
          <w:color w:val="334155"/>
          <w:sz w:val="20"/>
          <w:szCs w:val="20"/>
        </w:rPr>
        <w:t xml:space="preserve">Parameters are adjustable mid-simulation so students can observe how behaviour changes.</w:t>
      </w:r>
    </w:p>
    <w:p>
      <w:pPr>
        <w:pStyle w:val="ListParagraph"/>
        <w:numPr>
          <w:ilvl w:val="0"/>
          <w:numId w:val="2"/>
        </w:numPr>
        <w:spacing w:after="40" w:before="40"/>
      </w:pPr>
      <w:r>
        <w:rPr>
          <w:rFonts w:ascii="Arial" w:cs="Arial" w:eastAsia="Arial" w:hAnsi="Arial"/>
          <w:color w:val="334155"/>
          <w:sz w:val="20"/>
          <w:szCs w:val="20"/>
        </w:rPr>
        <w:t xml:space="preserve">Four independent modules cover the four most widely studied OS synchronisation primitives.</w:t>
      </w:r>
    </w:p>
    <w:p>
      <w:pPr>
        <w:pStyle w:val="ListParagraph"/>
        <w:numPr>
          <w:ilvl w:val="0"/>
          <w:numId w:val="2"/>
        </w:numPr>
        <w:spacing w:after="40" w:before="40"/>
      </w:pPr>
      <w:r>
        <w:rPr>
          <w:rFonts w:ascii="Arial" w:cs="Arial" w:eastAsia="Arial" w:hAnsi="Arial"/>
          <w:color w:val="334155"/>
          <w:sz w:val="20"/>
          <w:szCs w:val="20"/>
        </w:rPr>
        <w:t xml:space="preserve">No installation or setup is required — the entire experience runs in a web browser.</w:t>
      </w:r>
    </w:p>
    <w:p>
      <w:pPr>
        <w:spacing w:after="60" w:before="60"/>
      </w:pPr>
      <w:r>
        <w:t xml:space="preserve"/>
      </w:r>
    </w:p>
    <w:p>
      <w:pPr>
        <w:spacing w:after="60" w:before="60"/>
      </w:pPr>
      <w:r>
        <w:rPr>
          <w:rFonts w:ascii="Arial" w:cs="Arial" w:eastAsia="Arial" w:hAnsi="Arial"/>
          <w:color w:val="1E293B"/>
          <w:sz w:val="20"/>
          <w:szCs w:val="20"/>
        </w:rPr>
        <w:t xml:space="preserve">This is the correct problem to solve, and the solution is well-targeted.</w:t>
      </w:r>
    </w:p>
    <w:p>
      <w:pPr>
        <w:spacing w:after="60" w:before="60"/>
      </w:pPr>
      <w:r>
        <w:t xml:space="preserve"/>
      </w:r>
    </w:p>
    <w:p>
      <w:pPr>
        <w:pStyle w:val="Heading1"/>
        <w:pBdr>
          <w:bottom w:val="single" w:color="A78BFA" w:sz="4" w:space="6"/>
        </w:pBdr>
        <w:spacing w:after="120" w:before="360"/>
      </w:pPr>
      <w:r>
        <w:rPr>
          <w:rFonts w:ascii="Arial" w:cs="Arial" w:eastAsia="Arial" w:hAnsi="Arial"/>
          <w:b/>
          <w:bCs/>
          <w:color w:val="1E1B4B"/>
          <w:sz w:val="32"/>
          <w:szCs w:val="32"/>
        </w:rPr>
        <w:t xml:space="preserve">3.  Module-by-Module Breakdown</w:t>
      </w:r>
    </w:p>
    <w:p>
      <w:pPr>
        <w:spacing w:after="60" w:before="60"/>
      </w:pPr>
      <w:r>
        <w:rPr>
          <w:rFonts w:ascii="Arial" w:cs="Arial" w:eastAsia="Arial" w:hAnsi="Arial"/>
          <w:color w:val="1E293B"/>
          <w:sz w:val="20"/>
          <w:szCs w:val="20"/>
        </w:rPr>
        <w:t xml:space="preserve">The application is divided into four simulation modules, each self-contained with its own state engine. I will assess each in terms of correctness, implementation quality, and educational value.</w:t>
      </w:r>
    </w:p>
    <w:p>
      <w:pPr>
        <w:spacing w:after="60" w:before="60"/>
      </w:pPr>
      <w:r>
        <w:t xml:space="preserve"/>
      </w:r>
    </w:p>
    <w:p>
      <w:pPr>
        <w:pStyle w:val="Heading2"/>
        <w:spacing w:after="80" w:before="240"/>
      </w:pPr>
      <w:r>
        <w:rPr>
          <w:rFonts w:ascii="Arial" w:cs="Arial" w:eastAsia="Arial" w:hAnsi="Arial"/>
          <w:b/>
          <w:bCs/>
          <w:color w:val="6B21A8"/>
          <w:sz w:val="24"/>
          <w:szCs w:val="24"/>
        </w:rPr>
        <w:t xml:space="preserve">3.1  Counting Semaphore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7C3AED" w:sz="8"/>
              <w:bottom w:val="single" w:color="E2E8F0" w:sz="1"/>
              <w:right w:val="single" w:color="E2E8F0" w:sz="1"/>
            </w:tcBorders>
            <w:shd w:fill="F8FAFC" w:val="clear"/>
            <w:tcMar>
              <w:top w:type="dxa" w:w="140"/>
              <w:left w:type="dxa" w:w="240"/>
              <w:bottom w:type="dxa" w:w="140"/>
              <w:right w:type="dxa" w:w="200"/>
            </w:tcMar>
          </w:tcPr>
          <w:p>
            <w:pPr>
              <w:spacing w:after="60" w:before="0"/>
            </w:pPr>
            <w:r>
              <w:rPr>
                <w:rFonts w:ascii="Arial" w:cs="Arial" w:eastAsia="Arial" w:hAnsi="Arial"/>
                <w:b/>
                <w:bCs/>
                <w:color w:val="7C3AED"/>
                <w:sz w:val="24"/>
                <w:szCs w:val="24"/>
              </w:rPr>
              <w:t xml:space="preserve">🔵  SemaphoreSection.jsx</w:t>
            </w:r>
          </w:p>
          <w:p>
            <w:pPr>
              <w:spacing w:after="60" w:before="0"/>
            </w:pPr>
            <w:r>
              <w:rPr>
                <w:rFonts w:ascii="Arial" w:cs="Arial" w:eastAsia="Arial" w:hAnsi="Arial"/>
                <w:color w:val="475569"/>
                <w:sz w:val="19"/>
                <w:szCs w:val="19"/>
              </w:rPr>
              <w:t xml:space="preserve">Simulates a counting semaphore with configurable capacity N (1–5) and up to 8 threads.</w:t>
            </w:r>
          </w:p>
          <w:p>
            <w:pPr>
              <w:pStyle w:val="ListParagraph"/>
              <w:numPr>
                <w:ilvl w:val="0"/>
                <w:numId w:val="2"/>
              </w:numPr>
              <w:spacing w:after="30" w:before="30"/>
            </w:pPr>
            <w:r>
              <w:rPr>
                <w:rFonts w:ascii="Arial" w:cs="Arial" w:eastAsia="Arial" w:hAnsi="Arial"/>
                <w:color w:val="64748B"/>
                <w:sz w:val="18"/>
                <w:szCs w:val="18"/>
              </w:rPr>
              <w:t xml:space="preserve">Correctly implements P/V (wait/signal) operations with atomic counter management.</w:t>
            </w:r>
          </w:p>
          <w:p>
            <w:pPr>
              <w:pStyle w:val="ListParagraph"/>
              <w:numPr>
                <w:ilvl w:val="0"/>
                <w:numId w:val="2"/>
              </w:numPr>
              <w:spacing w:after="30" w:before="30"/>
            </w:pPr>
            <w:r>
              <w:rPr>
                <w:rFonts w:ascii="Arial" w:cs="Arial" w:eastAsia="Arial" w:hAnsi="Arial"/>
                <w:color w:val="64748B"/>
                <w:sz w:val="18"/>
                <w:szCs w:val="18"/>
              </w:rPr>
              <w:t xml:space="preserve">Threads that exceed slot capacity are pushed to a FIFO queue and rendered as Blocked (red).</w:t>
            </w:r>
          </w:p>
          <w:p>
            <w:pPr>
              <w:pStyle w:val="ListParagraph"/>
              <w:numPr>
                <w:ilvl w:val="0"/>
                <w:numId w:val="2"/>
              </w:numPr>
              <w:spacing w:after="30" w:before="30"/>
            </w:pPr>
            <w:r>
              <w:rPr>
                <w:rFonts w:ascii="Arial" w:cs="Arial" w:eastAsia="Arial" w:hAnsi="Arial"/>
                <w:color w:val="64748B"/>
                <w:sz w:val="18"/>
                <w:szCs w:val="18"/>
              </w:rPr>
              <w:t xml:space="preserve">On signal(), the semaphore correctly checks the queue before incrementing the counter — matching real OS behaviour.</w:t>
            </w:r>
          </w:p>
          <w:p>
            <w:pPr>
              <w:pStyle w:val="ListParagraph"/>
              <w:numPr>
                <w:ilvl w:val="0"/>
                <w:numId w:val="2"/>
              </w:numPr>
              <w:spacing w:after="30" w:before="30"/>
            </w:pPr>
            <w:r>
              <w:rPr>
                <w:rFonts w:ascii="Arial" w:cs="Arial" w:eastAsia="Arial" w:hAnsi="Arial"/>
                <w:color w:val="64748B"/>
                <w:sz w:val="18"/>
                <w:szCs w:val="18"/>
              </w:rPr>
              <w:t xml:space="preserve">Visual: slot indicators (filled circles), thread cards with colour-coded states, real-time log with second-precision timestamps.</w:t>
            </w:r>
          </w:p>
          <w:p>
            <w:pPr>
              <w:pStyle w:val="ListParagraph"/>
              <w:numPr>
                <w:ilvl w:val="0"/>
                <w:numId w:val="2"/>
              </w:numPr>
              <w:spacing w:after="30" w:before="30"/>
            </w:pPr>
            <w:r>
              <w:rPr>
                <w:rFonts w:ascii="Arial" w:cs="Arial" w:eastAsia="Arial" w:hAnsi="Arial"/>
                <w:color w:val="64748B"/>
                <w:sz w:val="18"/>
                <w:szCs w:val="18"/>
              </w:rPr>
              <w:t xml:space="preserve">Educational value: HIGH — directly demonstrates why semaphores enforce a concurrency limit and how the FIFO queue prevents starvation.</w:t>
            </w:r>
          </w:p>
        </w:tc>
      </w:tr>
    </w:tbl>
    <w:p>
      <w:pPr>
        <w:spacing w:after="60" w:before="60"/>
      </w:pPr>
      <w:r>
        <w:t xml:space="preserve"/>
      </w:r>
    </w:p>
    <w:p>
      <w:pPr>
        <w:pStyle w:val="Heading2"/>
        <w:spacing w:after="80" w:before="240"/>
      </w:pPr>
      <w:r>
        <w:rPr>
          <w:rFonts w:ascii="Arial" w:cs="Arial" w:eastAsia="Arial" w:hAnsi="Arial"/>
          <w:b/>
          <w:bCs/>
          <w:color w:val="6B21A8"/>
          <w:sz w:val="24"/>
          <w:szCs w:val="24"/>
        </w:rPr>
        <w:t xml:space="preserve">3.2  Mutex (Mutual Exclusion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B45309" w:sz="8"/>
              <w:bottom w:val="single" w:color="E2E8F0" w:sz="1"/>
              <w:right w:val="single" w:color="E2E8F0" w:sz="1"/>
            </w:tcBorders>
            <w:shd w:fill="F8FAFC" w:val="clear"/>
            <w:tcMar>
              <w:top w:type="dxa" w:w="140"/>
              <w:left w:type="dxa" w:w="240"/>
              <w:bottom w:type="dxa" w:w="140"/>
              <w:right w:type="dxa" w:w="200"/>
            </w:tcMar>
          </w:tcPr>
          <w:p>
            <w:pPr>
              <w:spacing w:after="60" w:before="0"/>
            </w:pPr>
            <w:r>
              <w:rPr>
                <w:rFonts w:ascii="Arial" w:cs="Arial" w:eastAsia="Arial" w:hAnsi="Arial"/>
                <w:b/>
                <w:bCs/>
                <w:color w:val="B45309"/>
                <w:sz w:val="24"/>
                <w:szCs w:val="24"/>
              </w:rPr>
              <w:t xml:space="preserve">🔒  MutexSection.jsx</w:t>
            </w:r>
          </w:p>
          <w:p>
            <w:pPr>
              <w:spacing w:after="60" w:before="0"/>
            </w:pPr>
            <w:r>
              <w:rPr>
                <w:rFonts w:ascii="Arial" w:cs="Arial" w:eastAsia="Arial" w:hAnsi="Arial"/>
                <w:color w:val="475569"/>
                <w:sz w:val="19"/>
                <w:szCs w:val="19"/>
              </w:rPr>
              <w:t xml:space="preserve">Simulates a binary mutex with ownership semantics and FIFO contention queue.</w:t>
            </w:r>
          </w:p>
          <w:p>
            <w:pPr>
              <w:pStyle w:val="ListParagraph"/>
              <w:numPr>
                <w:ilvl w:val="0"/>
                <w:numId w:val="2"/>
              </w:numPr>
              <w:spacing w:after="30" w:before="30"/>
            </w:pPr>
            <w:r>
              <w:rPr>
                <w:rFonts w:ascii="Arial" w:cs="Arial" w:eastAsia="Arial" w:hAnsi="Arial"/>
                <w:color w:val="64748B"/>
                <w:sz w:val="18"/>
                <w:szCs w:val="18"/>
              </w:rPr>
              <w:t xml:space="preserve">Lock state is tracked as { locked: bool, owner: threadId } rather than a simple counter — correctly models ownership semantics.</w:t>
            </w:r>
          </w:p>
          <w:p>
            <w:pPr>
              <w:pStyle w:val="ListParagraph"/>
              <w:numPr>
                <w:ilvl w:val="0"/>
                <w:numId w:val="2"/>
              </w:numPr>
              <w:spacing w:after="30" w:before="30"/>
            </w:pPr>
            <w:r>
              <w:rPr>
                <w:rFonts w:ascii="Arial" w:cs="Arial" w:eastAsia="Arial" w:hAnsi="Arial"/>
                <w:color w:val="64748B"/>
                <w:sz w:val="18"/>
                <w:szCs w:val="18"/>
              </w:rPr>
              <w:t xml:space="preserve">Threads attempting to acquire a held mutex are placed in a FIFO queue with visual queue order shown.</w:t>
            </w:r>
          </w:p>
          <w:p>
            <w:pPr>
              <w:pStyle w:val="ListParagraph"/>
              <w:numPr>
                <w:ilvl w:val="0"/>
                <w:numId w:val="2"/>
              </w:numPr>
              <w:spacing w:after="30" w:before="30"/>
            </w:pPr>
            <w:r>
              <w:rPr>
                <w:rFonts w:ascii="Arial" w:cs="Arial" w:eastAsia="Arial" w:hAnsi="Arial"/>
                <w:color w:val="64748B"/>
                <w:sz w:val="18"/>
                <w:szCs w:val="18"/>
              </w:rPr>
              <w:t xml:space="preserve">The OWNER badge and highlighted thread card clearly connect lock ownership to the active thread.</w:t>
            </w:r>
          </w:p>
          <w:p>
            <w:pPr>
              <w:pStyle w:val="ListParagraph"/>
              <w:numPr>
                <w:ilvl w:val="0"/>
                <w:numId w:val="2"/>
              </w:numPr>
              <w:spacing w:after="30" w:before="30"/>
            </w:pPr>
            <w:r>
              <w:rPr>
                <w:rFonts w:ascii="Arial" w:cs="Arial" w:eastAsia="Arial" w:hAnsi="Arial"/>
                <w:color w:val="64748B"/>
                <w:sz w:val="18"/>
                <w:szCs w:val="18"/>
              </w:rPr>
              <w:t xml:space="preserve">FIFO wake semantics are correctly implemented: unlock() dequeues the next thread atomically.</w:t>
            </w:r>
          </w:p>
          <w:p>
            <w:pPr>
              <w:pStyle w:val="ListParagraph"/>
              <w:numPr>
                <w:ilvl w:val="0"/>
                <w:numId w:val="2"/>
              </w:numPr>
              <w:spacing w:after="30" w:before="30"/>
            </w:pPr>
            <w:r>
              <w:rPr>
                <w:rFonts w:ascii="Arial" w:cs="Arial" w:eastAsia="Arial" w:hAnsi="Arial"/>
                <w:color w:val="64748B"/>
                <w:sz w:val="18"/>
                <w:szCs w:val="18"/>
              </w:rPr>
              <w:t xml:space="preserve">Educational value: HIGH — makes the distinction between a mutex and a semaphore visually obvious.</w:t>
            </w:r>
          </w:p>
        </w:tc>
      </w:tr>
    </w:tbl>
    <w:p>
      <w:pPr>
        <w:spacing w:after="60" w:before="60"/>
      </w:pPr>
      <w:r>
        <w:t xml:space="preserve"/>
      </w:r>
    </w:p>
    <w:p>
      <w:pPr>
        <w:pStyle w:val="Heading2"/>
        <w:spacing w:after="80" w:before="240"/>
      </w:pPr>
      <w:r>
        <w:rPr>
          <w:rFonts w:ascii="Arial" w:cs="Arial" w:eastAsia="Arial" w:hAnsi="Arial"/>
          <w:b/>
          <w:bCs/>
          <w:color w:val="6B21A8"/>
          <w:sz w:val="24"/>
          <w:szCs w:val="24"/>
        </w:rPr>
        <w:t xml:space="preserve">3.3  Monitor (Bounded Buffer / Producer–Consumer)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369A1" w:sz="8"/>
              <w:bottom w:val="single" w:color="E2E8F0" w:sz="1"/>
              <w:right w:val="single" w:color="E2E8F0" w:sz="1"/>
            </w:tcBorders>
            <w:shd w:fill="F8FAFC" w:val="clear"/>
            <w:tcMar>
              <w:top w:type="dxa" w:w="140"/>
              <w:left w:type="dxa" w:w="240"/>
              <w:bottom w:type="dxa" w:w="140"/>
              <w:right w:type="dxa" w:w="200"/>
            </w:tcMar>
          </w:tcPr>
          <w:p>
            <w:pPr>
              <w:spacing w:after="60" w:before="0"/>
            </w:pPr>
            <w:r>
              <w:rPr>
                <w:rFonts w:ascii="Arial" w:cs="Arial" w:eastAsia="Arial" w:hAnsi="Arial"/>
                <w:b/>
                <w:bCs/>
                <w:color w:val="0369A1"/>
                <w:sz w:val="24"/>
                <w:szCs w:val="24"/>
              </w:rPr>
              <w:t xml:space="preserve">📦  MonitorSection.jsx</w:t>
            </w:r>
          </w:p>
          <w:p>
            <w:pPr>
              <w:spacing w:after="60" w:before="0"/>
            </w:pPr>
            <w:r>
              <w:rPr>
                <w:rFonts w:ascii="Arial" w:cs="Arial" w:eastAsia="Arial" w:hAnsi="Arial"/>
                <w:color w:val="475569"/>
                <w:sz w:val="19"/>
                <w:szCs w:val="19"/>
              </w:rPr>
              <w:t xml:space="preserve">Implements the classic Bounded Buffer problem using a Monitor construct with two condition variables.</w:t>
            </w:r>
          </w:p>
          <w:p>
            <w:pPr>
              <w:pStyle w:val="ListParagraph"/>
              <w:numPr>
                <w:ilvl w:val="0"/>
                <w:numId w:val="2"/>
              </w:numPr>
              <w:spacing w:after="30" w:before="30"/>
            </w:pPr>
            <w:r>
              <w:rPr>
                <w:rFonts w:ascii="Arial" w:cs="Arial" w:eastAsia="Arial" w:hAnsi="Arial"/>
                <w:color w:val="64748B"/>
                <w:sz w:val="18"/>
                <w:szCs w:val="18"/>
              </w:rPr>
              <w:t xml:space="preserve">Dual condition variable design (notFull, notEmpty) correctly models the Hoare monitor protocol.</w:t>
            </w:r>
          </w:p>
          <w:p>
            <w:pPr>
              <w:pStyle w:val="ListParagraph"/>
              <w:numPr>
                <w:ilvl w:val="0"/>
                <w:numId w:val="2"/>
              </w:numPr>
              <w:spacing w:after="30" w:before="30"/>
            </w:pPr>
            <w:r>
              <w:rPr>
                <w:rFonts w:ascii="Arial" w:cs="Arial" w:eastAsia="Arial" w:hAnsi="Arial"/>
                <w:color w:val="64748B"/>
                <w:sz w:val="18"/>
                <w:szCs w:val="18"/>
              </w:rPr>
              <w:t xml:space="preserve">Producers call wait(notFull) when buffer is at capacity; consumers call wait(notEmpty) when empty.</w:t>
            </w:r>
          </w:p>
          <w:p>
            <w:pPr>
              <w:pStyle w:val="ListParagraph"/>
              <w:numPr>
                <w:ilvl w:val="0"/>
                <w:numId w:val="2"/>
              </w:numPr>
              <w:spacing w:after="30" w:before="30"/>
            </w:pPr>
            <w:r>
              <w:rPr>
                <w:rFonts w:ascii="Arial" w:cs="Arial" w:eastAsia="Arial" w:hAnsi="Arial"/>
                <w:color w:val="64748B"/>
                <w:sz w:val="18"/>
                <w:szCs w:val="18"/>
              </w:rPr>
              <w:t xml:space="preserve">Signal/wake order is correct: consumers signal notFull after consuming; producers signal notEmpty after producing.</w:t>
            </w:r>
          </w:p>
          <w:p>
            <w:pPr>
              <w:pStyle w:val="ListParagraph"/>
              <w:numPr>
                <w:ilvl w:val="0"/>
                <w:numId w:val="2"/>
              </w:numPr>
              <w:spacing w:after="30" w:before="30"/>
            </w:pPr>
            <w:r>
              <w:rPr>
                <w:rFonts w:ascii="Arial" w:cs="Arial" w:eastAsia="Arial" w:hAnsi="Arial"/>
                <w:color w:val="64748B"/>
                <w:sz w:val="18"/>
                <w:szCs w:val="18"/>
              </w:rPr>
              <w:t xml:space="preserve">Condition variable bars provide an intuitive visual of how many threads are waiting on each condition.</w:t>
            </w:r>
          </w:p>
          <w:p>
            <w:pPr>
              <w:pStyle w:val="ListParagraph"/>
              <w:numPr>
                <w:ilvl w:val="0"/>
                <w:numId w:val="2"/>
              </w:numPr>
              <w:spacing w:after="30" w:before="30"/>
            </w:pPr>
            <w:r>
              <w:rPr>
                <w:rFonts w:ascii="Arial" w:cs="Arial" w:eastAsia="Arial" w:hAnsi="Arial"/>
                <w:color w:val="64748B"/>
                <w:sz w:val="18"/>
                <w:szCs w:val="18"/>
              </w:rPr>
              <w:t xml:space="preserve">Configurable producer/consumer counts (1–4 each) allow experimentation with different production/consumption ratios.</w:t>
            </w:r>
          </w:p>
          <w:p>
            <w:pPr>
              <w:pStyle w:val="ListParagraph"/>
              <w:numPr>
                <w:ilvl w:val="0"/>
                <w:numId w:val="2"/>
              </w:numPr>
              <w:spacing w:after="30" w:before="30"/>
            </w:pPr>
            <w:r>
              <w:rPr>
                <w:rFonts w:ascii="Arial" w:cs="Arial" w:eastAsia="Arial" w:hAnsi="Arial"/>
                <w:color w:val="64748B"/>
                <w:sz w:val="18"/>
                <w:szCs w:val="18"/>
              </w:rPr>
              <w:t xml:space="preserve">Educational value: VERY HIGH — the monitor is the hardest primitive to understand from text alone.</w:t>
            </w:r>
          </w:p>
        </w:tc>
      </w:tr>
    </w:tbl>
    <w:p>
      <w:pPr>
        <w:spacing w:after="60" w:before="60"/>
      </w:pPr>
      <w:r>
        <w:t xml:space="preserve"/>
      </w:r>
    </w:p>
    <w:p>
      <w:pPr>
        <w:pStyle w:val="Heading2"/>
        <w:spacing w:after="80" w:before="240"/>
      </w:pPr>
      <w:r>
        <w:rPr>
          <w:rFonts w:ascii="Arial" w:cs="Arial" w:eastAsia="Arial" w:hAnsi="Arial"/>
          <w:b/>
          <w:bCs/>
          <w:color w:val="6B21A8"/>
          <w:sz w:val="24"/>
          <w:szCs w:val="24"/>
        </w:rPr>
        <w:t xml:space="preserve">3.4  Dining Philosophers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9A3412" w:sz="8"/>
              <w:bottom w:val="single" w:color="E2E8F0" w:sz="1"/>
              <w:right w:val="single" w:color="E2E8F0" w:sz="1"/>
            </w:tcBorders>
            <w:shd w:fill="F8FAFC" w:val="clear"/>
            <w:tcMar>
              <w:top w:type="dxa" w:w="140"/>
              <w:left w:type="dxa" w:w="240"/>
              <w:bottom w:type="dxa" w:w="140"/>
              <w:right w:type="dxa" w:w="200"/>
            </w:tcMar>
          </w:tcPr>
          <w:p>
            <w:pPr>
              <w:spacing w:after="60" w:before="0"/>
            </w:pPr>
            <w:r>
              <w:rPr>
                <w:rFonts w:ascii="Arial" w:cs="Arial" w:eastAsia="Arial" w:hAnsi="Arial"/>
                <w:b/>
                <w:bCs/>
                <w:color w:val="9A3412"/>
                <w:sz w:val="24"/>
                <w:szCs w:val="24"/>
              </w:rPr>
              <w:t xml:space="preserve">🍽️  DiningPhilosophers.jsx</w:t>
            </w:r>
          </w:p>
          <w:p>
            <w:pPr>
              <w:spacing w:after="60" w:before="0"/>
            </w:pPr>
            <w:r>
              <w:rPr>
                <w:rFonts w:ascii="Arial" w:cs="Arial" w:eastAsia="Arial" w:hAnsi="Arial"/>
                <w:color w:val="475569"/>
                <w:sz w:val="19"/>
                <w:szCs w:val="19"/>
              </w:rPr>
              <w:t xml:space="preserve">Implements the classic 5-philosopher problem with deadlock prevention via back-off strategy.</w:t>
            </w:r>
          </w:p>
          <w:p>
            <w:pPr>
              <w:pStyle w:val="ListParagraph"/>
              <w:numPr>
                <w:ilvl w:val="0"/>
                <w:numId w:val="2"/>
              </w:numPr>
              <w:spacing w:after="30" w:before="30"/>
            </w:pPr>
            <w:r>
              <w:rPr>
                <w:rFonts w:ascii="Arial" w:cs="Arial" w:eastAsia="Arial" w:hAnsi="Arial"/>
                <w:color w:val="64748B"/>
                <w:sz w:val="18"/>
                <w:szCs w:val="18"/>
              </w:rPr>
              <w:t xml:space="preserve">Philosophers cycle through Thinking → Hungry → Eating states modelled as a finite state machine.</w:t>
            </w:r>
          </w:p>
          <w:p>
            <w:pPr>
              <w:pStyle w:val="ListParagraph"/>
              <w:numPr>
                <w:ilvl w:val="0"/>
                <w:numId w:val="2"/>
              </w:numPr>
              <w:spacing w:after="30" w:before="30"/>
            </w:pPr>
            <w:r>
              <w:rPr>
                <w:rFonts w:ascii="Arial" w:cs="Arial" w:eastAsia="Arial" w:hAnsi="Arial"/>
                <w:color w:val="64748B"/>
                <w:sz w:val="18"/>
                <w:szCs w:val="18"/>
              </w:rPr>
              <w:t xml:space="preserve">Forks are modelled as a mutex array of length 5. Fork ownership is tracked and visualised per fork.</w:t>
            </w:r>
          </w:p>
          <w:p>
            <w:pPr>
              <w:pStyle w:val="ListParagraph"/>
              <w:numPr>
                <w:ilvl w:val="0"/>
                <w:numId w:val="2"/>
              </w:numPr>
              <w:spacing w:after="30" w:before="30"/>
            </w:pPr>
            <w:r>
              <w:rPr>
                <w:rFonts w:ascii="Arial" w:cs="Arial" w:eastAsia="Arial" w:hAnsi="Arial"/>
                <w:color w:val="64748B"/>
                <w:sz w:val="18"/>
                <w:szCs w:val="18"/>
              </w:rPr>
              <w:t xml:space="preserve">The back-off strategy correctly releases the held left fork when the right is unavailable, breaking circular wait.</w:t>
            </w:r>
          </w:p>
          <w:p>
            <w:pPr>
              <w:pStyle w:val="ListParagraph"/>
              <w:numPr>
                <w:ilvl w:val="0"/>
                <w:numId w:val="2"/>
              </w:numPr>
              <w:spacing w:after="30" w:before="30"/>
            </w:pPr>
            <w:r>
              <w:rPr>
                <w:rFonts w:ascii="Arial" w:cs="Arial" w:eastAsia="Arial" w:hAnsi="Arial"/>
                <w:color w:val="64748B"/>
                <w:sz w:val="18"/>
                <w:szCs w:val="18"/>
              </w:rPr>
              <w:t xml:space="preserve">Random retry delay prevents livelock — a subtle but critical addition that many implementations miss.</w:t>
            </w:r>
          </w:p>
          <w:p>
            <w:pPr>
              <w:pStyle w:val="ListParagraph"/>
              <w:numPr>
                <w:ilvl w:val="0"/>
                <w:numId w:val="2"/>
              </w:numPr>
              <w:spacing w:after="30" w:before="30"/>
            </w:pPr>
            <w:r>
              <w:rPr>
                <w:rFonts w:ascii="Arial" w:cs="Arial" w:eastAsia="Arial" w:hAnsi="Arial"/>
                <w:color w:val="64748B"/>
                <w:sz w:val="18"/>
                <w:szCs w:val="18"/>
              </w:rPr>
              <w:t xml:space="preserve">Circular SVG table diagram with animated fork-connection lines provides the clearest possible visual model.</w:t>
            </w:r>
          </w:p>
          <w:p>
            <w:pPr>
              <w:pStyle w:val="ListParagraph"/>
              <w:numPr>
                <w:ilvl w:val="0"/>
                <w:numId w:val="2"/>
              </w:numPr>
              <w:spacing w:after="30" w:before="30"/>
            </w:pPr>
            <w:r>
              <w:rPr>
                <w:rFonts w:ascii="Arial" w:cs="Arial" w:eastAsia="Arial" w:hAnsi="Arial"/>
                <w:color w:val="64748B"/>
                <w:sz w:val="18"/>
                <w:szCs w:val="18"/>
              </w:rPr>
              <w:t xml:space="preserve">Educational value: EXCEPTIONAL — watching back-off prevent deadlock in real time is a ‘lightbulb’ moment for most students.</w:t>
            </w:r>
          </w:p>
        </w:tc>
      </w:tr>
    </w:tbl>
    <w:p>
      <w:pPr>
        <w:spacing w:after="60" w:before="60"/>
      </w:pPr>
      <w:r>
        <w:t xml:space="preserve"/>
      </w:r>
    </w:p>
    <w:p>
      <w:pPr>
        <w:pStyle w:val="Heading1"/>
        <w:pBdr>
          <w:bottom w:val="single" w:color="A78BFA" w:sz="4" w:space="6"/>
        </w:pBdr>
        <w:spacing w:after="120" w:before="360"/>
      </w:pPr>
      <w:r>
        <w:rPr>
          <w:rFonts w:ascii="Arial" w:cs="Arial" w:eastAsia="Arial" w:hAnsi="Arial"/>
          <w:b/>
          <w:bCs/>
          <w:color w:val="1E1B4B"/>
          <w:sz w:val="32"/>
          <w:szCs w:val="32"/>
        </w:rPr>
        <w:t xml:space="preserve">4.  Architectural Analysis</w:t>
      </w:r>
    </w:p>
    <w:p>
      <w:pPr>
        <w:spacing w:after="60" w:before="60"/>
      </w:pPr>
      <w:r>
        <w:rPr>
          <w:rFonts w:ascii="Arial" w:cs="Arial" w:eastAsia="Arial" w:hAnsi="Arial"/>
          <w:color w:val="1E293B"/>
          <w:sz w:val="20"/>
          <w:szCs w:val="20"/>
        </w:rPr>
        <w:t xml:space="preserve">The most technically impressive aspect of this project is not any individual module but the shared architectural pattern that powers all four.</w:t>
      </w:r>
    </w:p>
    <w:p>
      <w:pPr>
        <w:spacing w:after="60" w:before="60"/>
      </w:pPr>
      <w:r>
        <w:t xml:space="preserve"/>
      </w:r>
    </w:p>
    <w:p>
      <w:pPr>
        <w:pStyle w:val="Heading2"/>
        <w:spacing w:after="80" w:before="240"/>
      </w:pPr>
      <w:r>
        <w:rPr>
          <w:rFonts w:ascii="Arial" w:cs="Arial" w:eastAsia="Arial" w:hAnsi="Arial"/>
          <w:b/>
          <w:bCs/>
          <w:color w:val="6B21A8"/>
          <w:sz w:val="24"/>
          <w:szCs w:val="24"/>
        </w:rPr>
        <w:t xml:space="preserve">4.1  The Dual-Layer State Architecture</w:t>
      </w:r>
    </w:p>
    <w:p>
      <w:pPr>
        <w:spacing w:after="60" w:before="60"/>
      </w:pPr>
      <w:r>
        <w:rPr>
          <w:rFonts w:ascii="Arial" w:cs="Arial" w:eastAsia="Arial" w:hAnsi="Arial"/>
          <w:color w:val="1E293B"/>
          <w:sz w:val="20"/>
          <w:szCs w:val="20"/>
        </w:rPr>
        <w:t xml:space="preserve">React’s standard state management (useState) triggers a re-render on every mutation. For a high-frequency simulation loop, this would cause dozens of re-renders per second, leading to janky performance or forced throttling. Mac’s solution — which I consider the highlight of this project — is a two-layer state architecture: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1B4B" w:val="clear"/>
            <w:tcMar>
              <w:top w:type="dxa" w:w="100"/>
              <w:left w:type="dxa" w:w="150"/>
              <w:bottom w:type="dxa" w:w="100"/>
              <w:right w:type="dxa" w:w="150"/>
            </w:tcMar>
          </w:tcPr>
          <w:p>
            <w:r>
              <w:rPr>
                <w:rFonts w:ascii="Arial" w:cs="Arial" w:eastAsia="Arial" w:hAnsi="Arial"/>
                <w:b/>
                <w:bCs/>
                <w:color w:val="FFFFFF"/>
                <w:sz w:val="18"/>
                <w:szCs w:val="18"/>
              </w:rPr>
              <w:t xml:space="preserve">Layer</w:t>
            </w:r>
          </w:p>
        </w:tc>
        <w:tc>
          <w:tcPr>
            <w:tcW w:type="dxa" w:w="6960"/>
            <w:tcBorders>
              <w:top w:val="single" w:color="CBD5E1" w:sz="1"/>
              <w:left w:val="single" w:color="CBD5E1" w:sz="1"/>
              <w:bottom w:val="single" w:color="CBD5E1" w:sz="1"/>
              <w:right w:val="single" w:color="CBD5E1" w:sz="1"/>
            </w:tcBorders>
            <w:shd w:fill="1E1B4B" w:val="clear"/>
            <w:tcMar>
              <w:top w:type="dxa" w:w="100"/>
              <w:left w:type="dxa" w:w="150"/>
              <w:bottom w:type="dxa" w:w="100"/>
              <w:right w:type="dxa" w:w="150"/>
            </w:tcMar>
          </w:tcPr>
          <w:p>
            <w:r>
              <w:rPr>
                <w:rFonts w:ascii="Arial" w:cs="Arial" w:eastAsia="Arial" w:hAnsi="Arial"/>
                <w:b/>
                <w:bCs/>
                <w:color w:val="FFFFFF"/>
                <w:sz w:val="18"/>
                <w:szCs w:val="18"/>
              </w:rPr>
              <w:t xml:space="preserve">Description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18"/>
                <w:szCs w:val="18"/>
              </w:rPr>
              <w:t xml:space="preserve">Simulation (useRef)</w:t>
            </w:r>
          </w:p>
        </w:tc>
        <w:tc>
          <w:tcPr>
            <w:tcW w:type="dxa" w:w="6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18"/>
                <w:szCs w:val="18"/>
              </w:rPr>
              <w:t xml:space="preserve">All thread objects, queues, counters, and lock states are stored in a mutable stateRef. useRef mutations do NOT trigger re-renders, so the simulation loop runs freely via setTimeout.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34155"/>
                <w:sz w:val="18"/>
                <w:szCs w:val="18"/>
              </w:rPr>
              <w:t xml:space="preserve">UI (useState)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34155"/>
                <w:sz w:val="18"/>
                <w:szCs w:val="18"/>
              </w:rPr>
              <w:t xml:space="preserve">A separate uiState object holds only the snapshot the current frame needs to render. The syncUI() function periodically flushes stateRef into uiState, triggering a batched, controlled re-render.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18"/>
                <w:szCs w:val="18"/>
              </w:rPr>
              <w:t xml:space="preserve">Analogy</w:t>
            </w:r>
          </w:p>
        </w:tc>
        <w:tc>
          <w:tcPr>
            <w:tcW w:type="dxa" w:w="6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18"/>
                <w:szCs w:val="18"/>
              </w:rPr>
              <w:t xml:space="preserve">This is conceptually identical to a game engine’s physics loop running independently of its frame renderer. It is an advanced React pattern rarely seen at undergraduate level.</w:t>
            </w:r>
          </w:p>
        </w:tc>
      </w:tr>
    </w:tbl>
    <w:p>
      <w:pPr>
        <w:spacing w:after="60" w:before="60"/>
      </w:pPr>
      <w:r>
        <w:t xml:space="preserve"/>
      </w:r>
    </w:p>
    <w:p>
      <w:pPr>
        <w:pStyle w:val="Heading2"/>
        <w:spacing w:after="80" w:before="240"/>
      </w:pPr>
      <w:r>
        <w:rPr>
          <w:rFonts w:ascii="Arial" w:cs="Arial" w:eastAsia="Arial" w:hAnsi="Arial"/>
          <w:b/>
          <w:bCs/>
          <w:color w:val="6B21A8"/>
          <w:sz w:val="24"/>
          <w:szCs w:val="24"/>
        </w:rPr>
        <w:t xml:space="preserve">4.2  The Simulation Tick Loop</w:t>
      </w:r>
    </w:p>
    <w:p>
      <w:pPr>
        <w:spacing w:after="60" w:before="60"/>
      </w:pPr>
      <w:r>
        <w:rPr>
          <w:rFonts w:ascii="Arial" w:cs="Arial" w:eastAsia="Arial" w:hAnsi="Arial"/>
          <w:color w:val="1E293B"/>
          <w:sz w:val="20"/>
          <w:szCs w:val="20"/>
        </w:rPr>
        <w:t xml:space="preserve">The recursive setTimeout tick loop evaluates every thread’s FSM transition on each tick, applies transitions atomically to stateRef, appends log events, calls syncUI(), then schedules the next tick. The tick interval is controlled by a speed multiplier (0.5× to 4×) from the user-facing slider.</w:t>
      </w:r>
    </w:p>
    <w:p>
      <w:pPr>
        <w:spacing w:after="60" w:before="60"/>
      </w:pPr>
      <w:r>
        <w:t xml:space="preserve"/>
      </w:r>
    </w:p>
    <w:p>
      <w:pPr>
        <w:spacing w:after="60" w:before="60"/>
      </w:pPr>
      <w:r>
        <w:rPr>
          <w:rFonts w:ascii="Arial" w:cs="Arial" w:eastAsia="Arial" w:hAnsi="Arial"/>
          <w:color w:val="1E293B"/>
          <w:sz w:val="20"/>
          <w:szCs w:val="20"/>
        </w:rPr>
        <w:t xml:space="preserve">This design means the simulation can be paused, resumed, and reset without corrupting state — because the simulation state lives in stateRef and is only reflected in React state when syncUI() is explicitly called.</w:t>
      </w:r>
    </w:p>
    <w:p>
      <w:pPr>
        <w:spacing w:after="60" w:before="60"/>
      </w:pPr>
      <w:r>
        <w:t xml:space="preserve"/>
      </w:r>
    </w:p>
    <w:p>
      <w:pPr>
        <w:pStyle w:val="Heading2"/>
        <w:spacing w:after="80" w:before="240"/>
      </w:pPr>
      <w:r>
        <w:rPr>
          <w:rFonts w:ascii="Arial" w:cs="Arial" w:eastAsia="Arial" w:hAnsi="Arial"/>
          <w:b/>
          <w:bCs/>
          <w:color w:val="6B21A8"/>
          <w:sz w:val="24"/>
          <w:szCs w:val="24"/>
        </w:rPr>
        <w:t xml:space="preserve">4.3  Module Isolation</w:t>
      </w:r>
    </w:p>
    <w:p>
      <w:pPr>
        <w:spacing w:after="60" w:before="60"/>
      </w:pPr>
      <w:r>
        <w:rPr>
          <w:rFonts w:ascii="Arial" w:cs="Arial" w:eastAsia="Arial" w:hAnsi="Arial"/>
          <w:color w:val="1E293B"/>
          <w:sz w:val="20"/>
          <w:szCs w:val="20"/>
        </w:rPr>
        <w:t xml:space="preserve">Each of the four modules is entirely self-contained. Switching tabs pauses or resets the prior module and initialises the new one with fresh state. Shared components (ThreadCard, LogBox, Controls) are passed state as props and contain no simulation logic of their own. This separation of concerns is textbook clean architecture.</w:t>
      </w:r>
    </w:p>
    <w:p>
      <w:pPr>
        <w:spacing w:after="60" w:before="60"/>
      </w:pPr>
      <w:r>
        <w:t xml:space="preserve"/>
      </w:r>
    </w:p>
    <w:p>
      <w:pPr>
        <w:pStyle w:val="Heading1"/>
        <w:pBdr>
          <w:bottom w:val="single" w:color="A78BFA" w:sz="4" w:space="6"/>
        </w:pBdr>
        <w:spacing w:after="120" w:before="360"/>
      </w:pPr>
      <w:r>
        <w:rPr>
          <w:rFonts w:ascii="Arial" w:cs="Arial" w:eastAsia="Arial" w:hAnsi="Arial"/>
          <w:b/>
          <w:bCs/>
          <w:color w:val="1E1B4B"/>
          <w:sz w:val="32"/>
          <w:szCs w:val="32"/>
        </w:rPr>
        <w:t xml:space="preserve">5.  Technology Stack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1B4B" w:val="clear"/>
            <w:tcMar>
              <w:top w:type="dxa" w:w="100"/>
              <w:left w:type="dxa" w:w="150"/>
              <w:bottom w:type="dxa" w:w="100"/>
              <w:right w:type="dxa" w:w="150"/>
            </w:tcMar>
          </w:tcPr>
          <w:p>
            <w:r>
              <w:rPr>
                <w:rFonts w:ascii="Arial" w:cs="Arial" w:eastAsia="Arial" w:hAnsi="Arial"/>
                <w:b/>
                <w:bCs/>
                <w:color w:val="FFFFFF"/>
                <w:sz w:val="18"/>
                <w:szCs w:val="18"/>
              </w:rPr>
              <w:t xml:space="preserve">Technology</w:t>
            </w:r>
          </w:p>
        </w:tc>
        <w:tc>
          <w:tcPr>
            <w:tcW w:type="dxa" w:w="6960"/>
            <w:tcBorders>
              <w:top w:val="single" w:color="CBD5E1" w:sz="1"/>
              <w:left w:val="single" w:color="CBD5E1" w:sz="1"/>
              <w:bottom w:val="single" w:color="CBD5E1" w:sz="1"/>
              <w:right w:val="single" w:color="CBD5E1" w:sz="1"/>
            </w:tcBorders>
            <w:shd w:fill="1E1B4B" w:val="clear"/>
            <w:tcMar>
              <w:top w:type="dxa" w:w="100"/>
              <w:left w:type="dxa" w:w="150"/>
              <w:bottom w:type="dxa" w:w="100"/>
              <w:right w:type="dxa" w:w="150"/>
            </w:tcMar>
          </w:tcPr>
          <w:p>
            <w:r>
              <w:rPr>
                <w:rFonts w:ascii="Arial" w:cs="Arial" w:eastAsia="Arial" w:hAnsi="Arial"/>
                <w:b/>
                <w:bCs/>
                <w:color w:val="FFFFFF"/>
                <w:sz w:val="18"/>
                <w:szCs w:val="18"/>
              </w:rPr>
              <w:t xml:space="preserve">Assessment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18"/>
                <w:szCs w:val="18"/>
              </w:rPr>
              <w:t xml:space="preserve">React 18 + Vite 5</w:t>
            </w:r>
          </w:p>
        </w:tc>
        <w:tc>
          <w:tcPr>
            <w:tcW w:type="dxa" w:w="6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18"/>
                <w:szCs w:val="18"/>
              </w:rPr>
              <w:t xml:space="preserve">Correct and modern. Vite provides fast dev builds with HMR. React Hooks (useState, useRef, useCallback) are used appropriately — no class components, no legacy patterns.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34155"/>
                <w:sz w:val="18"/>
                <w:szCs w:val="18"/>
              </w:rPr>
              <w:t xml:space="preserve">Tailwind CSS 3</w:t>
            </w:r>
          </w:p>
        </w:tc>
        <w:tc>
          <w:tcPr>
            <w:tcW w:type="dxa" w:w="69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34155"/>
                <w:sz w:val="18"/>
                <w:szCs w:val="18"/>
              </w:rPr>
              <w:t xml:space="preserve">Utility-first approach keeps styles co-located with components. Dark-mode implementation is consistent across all modules.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18"/>
                <w:szCs w:val="18"/>
              </w:rPr>
              <w:t xml:space="preserve">Framer Motion 11</w:t>
            </w:r>
          </w:p>
        </w:tc>
        <w:tc>
          <w:tcPr>
            <w:tcW w:type="dxa" w:w="6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18"/>
                <w:szCs w:val="18"/>
              </w:rPr>
              <w:t xml:space="preserve">Used for AnimatePresence (tab transitions) and state change animations. Usage is restrained and purposeful — not decorative noise.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34155"/>
                <w:sz w:val="18"/>
                <w:szCs w:val="18"/>
              </w:rPr>
              <w:t xml:space="preserve">Vercel Deployment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34155"/>
                <w:sz w:val="18"/>
                <w:szCs w:val="18"/>
              </w:rPr>
              <w:t xml:space="preserve">Correct choice for a zero-backend SPA. npm run build outputs to /dist; Vercel serves it as static assets with zero configuration.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18"/>
                <w:szCs w:val="18"/>
              </w:rPr>
              <w:t xml:space="preserve">Browser setTimeout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18"/>
                <w:szCs w:val="18"/>
              </w:rPr>
              <w:t xml:space="preserve">Appropriate for the simulation frequency required. No Web Workers needed at this scale. The speed slider correctly adjusts the tick interval.</w:t>
            </w:r>
          </w:p>
        </w:tc>
      </w:tr>
    </w:tbl>
    <w:p>
      <w:pPr>
        <w:spacing w:after="60" w:before="60"/>
      </w:pPr>
      <w:r>
        <w:t xml:space="preserve"/>
      </w:r>
    </w:p>
    <w:p>
      <w:pPr>
        <w:pStyle w:val="Heading1"/>
        <w:pBdr>
          <w:bottom w:val="single" w:color="A78BFA" w:sz="4" w:space="6"/>
        </w:pBdr>
        <w:spacing w:after="120" w:before="360"/>
      </w:pPr>
      <w:r>
        <w:rPr>
          <w:rFonts w:ascii="Arial" w:cs="Arial" w:eastAsia="Arial" w:hAnsi="Arial"/>
          <w:b/>
          <w:bCs/>
          <w:color w:val="1E1B4B"/>
          <w:sz w:val="32"/>
          <w:szCs w:val="32"/>
        </w:rPr>
        <w:t xml:space="preserve">6.  Strengths</w:t>
      </w:r>
    </w:p>
    <w:p>
      <w:pPr>
        <w:pStyle w:val="ListParagraph"/>
        <w:numPr>
          <w:ilvl w:val="0"/>
          <w:numId w:val="2"/>
        </w:numPr>
        <w:spacing w:after="40" w:before="40"/>
      </w:pPr>
      <w:r>
        <w:rPr>
          <w:rFonts w:ascii="Arial" w:cs="Arial" w:eastAsia="Arial" w:hAnsi="Arial"/>
          <w:b/>
          <w:bCs/>
          <w:color w:val="1E1B4B"/>
          <w:sz w:val="20"/>
          <w:szCs w:val="20"/>
        </w:rPr>
        <w:t xml:space="preserve">Architecture: </w:t>
      </w:r>
      <w:r>
        <w:rPr>
          <w:rFonts w:ascii="Arial" w:cs="Arial" w:eastAsia="Arial" w:hAnsi="Arial"/>
          <w:color w:val="334155"/>
          <w:sz w:val="20"/>
          <w:szCs w:val="20"/>
        </w:rPr>
        <w:t xml:space="preserve">The dual-layer state architecture (useRef + useState) is a genuinely advanced React pattern, not something found in introductory tutorials.</w:t>
      </w:r>
    </w:p>
    <w:p>
      <w:pPr>
        <w:pStyle w:val="ListParagraph"/>
        <w:numPr>
          <w:ilvl w:val="0"/>
          <w:numId w:val="2"/>
        </w:numPr>
        <w:spacing w:after="40" w:before="40"/>
      </w:pPr>
      <w:r>
        <w:rPr>
          <w:rFonts w:ascii="Arial" w:cs="Arial" w:eastAsia="Arial" w:hAnsi="Arial"/>
          <w:b/>
          <w:bCs/>
          <w:color w:val="1E1B4B"/>
          <w:sz w:val="20"/>
          <w:szCs w:val="20"/>
        </w:rPr>
        <w:t xml:space="preserve">Correctness: </w:t>
      </w:r>
      <w:r>
        <w:rPr>
          <w:rFonts w:ascii="Arial" w:cs="Arial" w:eastAsia="Arial" w:hAnsi="Arial"/>
          <w:color w:val="334155"/>
          <w:sz w:val="20"/>
          <w:szCs w:val="20"/>
        </w:rPr>
        <w:t xml:space="preserve">All four simulation modules implement logically correct OS primitive behaviour — this is not just visual theatre.</w:t>
      </w:r>
    </w:p>
    <w:p>
      <w:pPr>
        <w:pStyle w:val="ListParagraph"/>
        <w:numPr>
          <w:ilvl w:val="0"/>
          <w:numId w:val="2"/>
        </w:numPr>
        <w:spacing w:after="40" w:before="40"/>
      </w:pPr>
      <w:r>
        <w:rPr>
          <w:rFonts w:ascii="Arial" w:cs="Arial" w:eastAsia="Arial" w:hAnsi="Arial"/>
          <w:b/>
          <w:bCs/>
          <w:color w:val="1E1B4B"/>
          <w:sz w:val="20"/>
          <w:szCs w:val="20"/>
        </w:rPr>
        <w:t xml:space="preserve">Pedagogy: </w:t>
      </w:r>
      <w:r>
        <w:rPr>
          <w:rFonts w:ascii="Arial" w:cs="Arial" w:eastAsia="Arial" w:hAnsi="Arial"/>
          <w:color w:val="334155"/>
          <w:sz w:val="20"/>
          <w:szCs w:val="20"/>
        </w:rPr>
        <w:t xml:space="preserve">The educational design is excellent: colour-coded states, FIFO queue visualisations, and timestamped logs reinforce exactly the concepts each module teaches.</w:t>
      </w:r>
    </w:p>
    <w:p>
      <w:pPr>
        <w:pStyle w:val="ListParagraph"/>
        <w:numPr>
          <w:ilvl w:val="0"/>
          <w:numId w:val="2"/>
        </w:numPr>
        <w:spacing w:after="40" w:before="40"/>
      </w:pPr>
      <w:r>
        <w:rPr>
          <w:rFonts w:ascii="Arial" w:cs="Arial" w:eastAsia="Arial" w:hAnsi="Arial"/>
          <w:b/>
          <w:bCs/>
          <w:color w:val="1E1B4B"/>
          <w:sz w:val="20"/>
          <w:szCs w:val="20"/>
        </w:rPr>
        <w:t xml:space="preserve">Deployability: </w:t>
      </w:r>
      <w:r>
        <w:rPr>
          <w:rFonts w:ascii="Arial" w:cs="Arial" w:eastAsia="Arial" w:hAnsi="Arial"/>
          <w:color w:val="334155"/>
          <w:sz w:val="20"/>
          <w:szCs w:val="20"/>
        </w:rPr>
        <w:t xml:space="preserve">Zero-backend, zero-install deployment is a significant UX win. Students and instructors can share a link and immediately interact with the simulation.</w:t>
      </w:r>
    </w:p>
    <w:p>
      <w:pPr>
        <w:pStyle w:val="ListParagraph"/>
        <w:numPr>
          <w:ilvl w:val="0"/>
          <w:numId w:val="2"/>
        </w:numPr>
        <w:spacing w:after="40" w:before="40"/>
      </w:pPr>
      <w:r>
        <w:rPr>
          <w:rFonts w:ascii="Arial" w:cs="Arial" w:eastAsia="Arial" w:hAnsi="Arial"/>
          <w:b/>
          <w:bCs/>
          <w:color w:val="1E1B4B"/>
          <w:sz w:val="20"/>
          <w:szCs w:val="20"/>
        </w:rPr>
        <w:t xml:space="preserve">Deadlock Prevention: </w:t>
      </w:r>
      <w:r>
        <w:rPr>
          <w:rFonts w:ascii="Arial" w:cs="Arial" w:eastAsia="Arial" w:hAnsi="Arial"/>
          <w:color w:val="334155"/>
          <w:sz w:val="20"/>
          <w:szCs w:val="20"/>
        </w:rPr>
        <w:t xml:space="preserve">Deadlock prevention via randomised back-off in the Dining Philosophers module is implemented correctly and demonstrates both the problem and the solution.</w:t>
      </w:r>
    </w:p>
    <w:p>
      <w:pPr>
        <w:pStyle w:val="ListParagraph"/>
        <w:numPr>
          <w:ilvl w:val="0"/>
          <w:numId w:val="2"/>
        </w:numPr>
        <w:spacing w:after="40" w:before="40"/>
      </w:pPr>
      <w:r>
        <w:rPr>
          <w:rFonts w:ascii="Arial" w:cs="Arial" w:eastAsia="Arial" w:hAnsi="Arial"/>
          <w:b/>
          <w:bCs/>
          <w:color w:val="1E1B4B"/>
          <w:sz w:val="20"/>
          <w:szCs w:val="20"/>
        </w:rPr>
        <w:t xml:space="preserve">Event Log: </w:t>
      </w:r>
      <w:r>
        <w:rPr>
          <w:rFonts w:ascii="Arial" w:cs="Arial" w:eastAsia="Arial" w:hAnsi="Arial"/>
          <w:color w:val="334155"/>
          <w:sz w:val="20"/>
          <w:szCs w:val="20"/>
        </w:rPr>
        <w:t xml:space="preserve">The event log is a powerful secondary learning tool — students can read the sequence of transitions and cross-reference with what they see on screen.</w:t>
      </w:r>
    </w:p>
    <w:p>
      <w:pPr>
        <w:spacing w:after="60" w:before="60"/>
      </w:pPr>
      <w:r>
        <w:t xml:space="preserve"/>
      </w:r>
    </w:p>
    <w:p>
      <w:pPr>
        <w:pStyle w:val="Heading1"/>
        <w:pBdr>
          <w:bottom w:val="single" w:color="A78BFA" w:sz="4" w:space="6"/>
        </w:pBdr>
        <w:spacing w:after="120" w:before="360"/>
      </w:pPr>
      <w:r>
        <w:rPr>
          <w:rFonts w:ascii="Arial" w:cs="Arial" w:eastAsia="Arial" w:hAnsi="Arial"/>
          <w:b/>
          <w:bCs/>
          <w:color w:val="1E1B4B"/>
          <w:sz w:val="32"/>
          <w:szCs w:val="32"/>
        </w:rPr>
        <w:t xml:space="preserve">7.  Recommended Future Directions</w:t>
      </w:r>
    </w:p>
    <w:p>
      <w:pPr>
        <w:spacing w:after="60" w:before="60"/>
      </w:pPr>
      <w:r>
        <w:rPr>
          <w:rFonts w:ascii="Arial" w:cs="Arial" w:eastAsia="Arial" w:hAnsi="Arial"/>
          <w:color w:val="1E293B"/>
          <w:sz w:val="20"/>
          <w:szCs w:val="20"/>
        </w:rPr>
        <w:t xml:space="preserve">The following enhancements would elevate this project from excellent academic work to a production-grade educational platform:</w:t>
      </w:r>
    </w:p>
    <w:p>
      <w:pPr>
        <w:spacing w:after="60" w:before="60"/>
      </w:pPr>
      <w:r>
        <w:t xml:space="preserve"/>
      </w:r>
    </w:p>
    <w:p>
      <w:pPr>
        <w:pStyle w:val="ListParagraph"/>
        <w:numPr>
          <w:ilvl w:val="0"/>
          <w:numId w:val="2"/>
        </w:numPr>
        <w:spacing w:after="40" w:before="40"/>
      </w:pPr>
      <w:r>
        <w:rPr>
          <w:rFonts w:ascii="Arial" w:cs="Arial" w:eastAsia="Arial" w:hAnsi="Arial"/>
          <w:color w:val="334155"/>
          <w:sz w:val="20"/>
          <w:szCs w:val="20"/>
        </w:rPr>
        <w:t xml:space="preserve">Extract the shared simulation engine into a generic useSimulation(config) hook to eliminate code duplication across the four modules.</w:t>
      </w:r>
    </w:p>
    <w:p>
      <w:pPr>
        <w:pStyle w:val="ListParagraph"/>
        <w:numPr>
          <w:ilvl w:val="0"/>
          <w:numId w:val="2"/>
        </w:numPr>
        <w:spacing w:after="40" w:before="40"/>
      </w:pPr>
      <w:r>
        <w:rPr>
          <w:rFonts w:ascii="Arial" w:cs="Arial" w:eastAsia="Arial" w:hAnsi="Arial"/>
          <w:color w:val="334155"/>
          <w:sz w:val="20"/>
          <w:szCs w:val="20"/>
        </w:rPr>
        <w:t xml:space="preserve">Add a single-step debugger mode that advances the simulation one tick at a time — ideal for classroom walkthroughs.</w:t>
      </w:r>
    </w:p>
    <w:p>
      <w:pPr>
        <w:pStyle w:val="ListParagraph"/>
        <w:numPr>
          <w:ilvl w:val="0"/>
          <w:numId w:val="2"/>
        </w:numPr>
        <w:spacing w:after="40" w:before="40"/>
      </w:pPr>
      <w:r>
        <w:rPr>
          <w:rFonts w:ascii="Arial" w:cs="Arial" w:eastAsia="Arial" w:hAnsi="Arial"/>
          <w:color w:val="334155"/>
          <w:sz w:val="20"/>
          <w:szCs w:val="20"/>
        </w:rPr>
        <w:t xml:space="preserve">Implement the Readers–Writers Lock and Priority Inheritance Mutex as two additional modules.</w:t>
      </w:r>
    </w:p>
    <w:p>
      <w:pPr>
        <w:pStyle w:val="ListParagraph"/>
        <w:numPr>
          <w:ilvl w:val="0"/>
          <w:numId w:val="2"/>
        </w:numPr>
        <w:spacing w:after="40" w:before="40"/>
      </w:pPr>
      <w:r>
        <w:rPr>
          <w:rFonts w:ascii="Arial" w:cs="Arial" w:eastAsia="Arial" w:hAnsi="Arial"/>
          <w:color w:val="334155"/>
          <w:sz w:val="20"/>
          <w:szCs w:val="20"/>
        </w:rPr>
        <w:t xml:space="preserve">Add a Resource Allocation Graph (RAG) visualiser to demonstrate deadlock detection algorithmically.</w:t>
      </w:r>
    </w:p>
    <w:p>
      <w:pPr>
        <w:pStyle w:val="ListParagraph"/>
        <w:numPr>
          <w:ilvl w:val="0"/>
          <w:numId w:val="2"/>
        </w:numPr>
        <w:spacing w:after="40" w:before="40"/>
      </w:pPr>
      <w:r>
        <w:rPr>
          <w:rFonts w:ascii="Arial" w:cs="Arial" w:eastAsia="Arial" w:hAnsi="Arial"/>
          <w:color w:val="334155"/>
          <w:sz w:val="20"/>
          <w:szCs w:val="20"/>
        </w:rPr>
        <w:t xml:space="preserve">Allow users to define custom thread scripts or load predefined scenarios that deliberately trigger race conditions.</w:t>
      </w:r>
    </w:p>
    <w:p>
      <w:pPr>
        <w:pStyle w:val="ListParagraph"/>
        <w:numPr>
          <w:ilvl w:val="0"/>
          <w:numId w:val="2"/>
        </w:numPr>
        <w:spacing w:after="40" w:before="40"/>
      </w:pPr>
      <w:r>
        <w:rPr>
          <w:rFonts w:ascii="Arial" w:cs="Arial" w:eastAsia="Arial" w:hAnsi="Arial"/>
          <w:color w:val="334155"/>
          <w:sz w:val="20"/>
          <w:szCs w:val="20"/>
        </w:rPr>
        <w:t xml:space="preserve">Add screen-reader support and keyboard navigation to make the tool accessible to all learners.</w:t>
      </w:r>
    </w:p>
    <w:p>
      <w:pPr>
        <w:spacing w:after="60" w:before="60"/>
      </w:pPr>
      <w:r>
        <w:t xml:space="preserve"/>
      </w:r>
    </w:p>
    <w:p>
      <w:pPr>
        <w:pStyle w:val="Heading1"/>
        <w:pBdr>
          <w:bottom w:val="single" w:color="A78BFA" w:sz="4" w:space="6"/>
        </w:pBdr>
        <w:spacing w:after="120" w:before="360"/>
      </w:pPr>
      <w:r>
        <w:rPr>
          <w:rFonts w:ascii="Arial" w:cs="Arial" w:eastAsia="Arial" w:hAnsi="Arial"/>
          <w:b/>
          <w:bCs/>
          <w:color w:val="1E1B4B"/>
          <w:sz w:val="32"/>
          <w:szCs w:val="32"/>
        </w:rPr>
        <w:t xml:space="preserve">8.  Conclusion</w:t>
      </w:r>
    </w:p>
    <w:p>
      <w:pPr>
        <w:spacing w:after="60" w:before="60"/>
      </w:pPr>
      <w:r>
        <w:rPr>
          <w:rFonts w:ascii="Arial" w:cs="Arial" w:eastAsia="Arial" w:hAnsi="Arial"/>
          <w:color w:val="1E293B"/>
          <w:sz w:val="20"/>
          <w:szCs w:val="20"/>
        </w:rPr>
        <w:t xml:space="preserve">This is an outstanding undergraduate project. The Thread Synchronization Visualizer demonstrates not only a solid grasp of OS theory — semaphores, mutexes, monitors, and the Dining Philosophers problem — but also a sophisticated understanding of React performance patterns and front-end software architecture.</w:t>
      </w:r>
    </w:p>
    <w:p>
      <w:pPr>
        <w:spacing w:after="60" w:before="60"/>
      </w:pPr>
      <w:r>
        <w:t xml:space="preserve"/>
      </w:r>
    </w:p>
    <w:p>
      <w:pPr>
        <w:spacing w:after="60" w:before="60"/>
      </w:pPr>
      <w:r>
        <w:rPr>
          <w:rFonts w:ascii="Arial" w:cs="Arial" w:eastAsia="Arial" w:hAnsi="Arial"/>
          <w:color w:val="1E293B"/>
          <w:sz w:val="20"/>
          <w:szCs w:val="20"/>
        </w:rPr>
        <w:t xml:space="preserve">The dual-layer state engine, correct synchronisation logic, clean module isolation, and zero-friction deployment combine to create a tool that genuinely advances the educational mission it sets out to achieve.</w:t>
      </w:r>
    </w:p>
    <w:p>
      <w:pPr>
        <w:spacing w:after="60" w:before="60"/>
      </w:pPr>
      <w:r>
        <w:t xml:space="preserve"/>
      </w:r>
    </w:p>
    <w:p>
      <w:pPr>
        <w:spacing w:after="60" w:before="60"/>
      </w:pPr>
      <w:r>
        <w:rPr>
          <w:rFonts w:ascii="Arial" w:cs="Arial" w:eastAsia="Arial" w:hAnsi="Arial"/>
          <w:color w:val="1E293B"/>
          <w:sz w:val="20"/>
          <w:szCs w:val="20"/>
        </w:rPr>
        <w:t xml:space="preserve">I (Claude) am proud to have prepared this analysis and believe the project merits recognition not just as a course submission but as a contribution to the community of OS education resources.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Breakdown prepared by Claude · Anthropic  ·  April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64748B"/>
        <w:sz w:val="16"/>
        <w:szCs w:val="16"/>
      </w:rPr>
      <w:t xml:space="preserve">Breakdown authored by Claude (Anthropic)  ·  Mac Tanatswa Muza, Reg. 12405348  ·  LPU CSE 316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78BFA" w:sz="4" w:space="6"/>
      </w:pBdr>
      <w:jc w:val="right"/>
    </w:pPr>
    <w:r>
      <w:rPr>
        <w:rFonts w:ascii="Arial" w:cs="Arial" w:eastAsia="Arial" w:hAnsi="Arial"/>
        <w:color w:val="64748B"/>
        <w:sz w:val="16"/>
        <w:szCs w:val="16"/>
      </w:rPr>
      <w:t xml:space="preserve">Thread Synchronization Visualizer  |  Project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2026-04-24T16:39:59.394Z</dcterms:created>
  <dcterms:modified xsi:type="dcterms:W3CDTF">2026-04-24T16:39:59.395Z</dcterms:modified>
</cp:coreProperties>
</file>

<file path=docProps/custom.xml><?xml version="1.0" encoding="utf-8"?>
<Properties xmlns="http://schemas.openxmlformats.org/officeDocument/2006/custom-properties" xmlns:vt="http://schemas.openxmlformats.org/officeDocument/2006/docPropsVTypes"/>
</file>