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20883">
      <w:pPr>
        <w:pStyle w:val="2"/>
        <w:spacing w:line="240" w:lineRule="auto"/>
        <w:rPr>
          <w:rStyle w:val="73"/>
          <w:rFonts w:hint="default" w:ascii="Times New Roman Regular" w:hAnsi="Times New Roman Regular" w:cs="Times New Roman Regular"/>
          <w:b/>
          <w:bCs w:val="0"/>
          <w:color w:val="auto"/>
        </w:rPr>
      </w:pPr>
      <w:bookmarkStart w:id="0" w:name="Xd670263495042d70d34871540d9af5c93f69d4e"/>
      <w:bookmarkStart w:id="31" w:name="_GoBack"/>
      <w:r>
        <w:rPr>
          <w:rFonts w:hint="default" w:ascii="Times New Roman Regular" w:hAnsi="Times New Roman Regular" w:eastAsia="Arial" w:cs="Times New Roman Regular"/>
          <w:b/>
          <w:bCs/>
          <w:color w:val="auto"/>
          <w:sz w:val="34"/>
          <w:szCs w:val="34"/>
        </w:rPr>
        <w:t>GRC</w:t>
      </w:r>
      <w:r>
        <w:rPr>
          <w:rFonts w:hint="default" w:ascii="Times New Roman Regular" w:hAnsi="Times New Roman Regular" w:eastAsia="Arial" w:cs="Times New Roman Regular"/>
          <w:b/>
          <w:bCs/>
          <w:color w:val="auto"/>
          <w:sz w:val="34"/>
          <w:szCs w:val="34"/>
          <w:lang w:val="en-US"/>
        </w:rPr>
        <w:t>2</w:t>
      </w:r>
      <w:r>
        <w:rPr>
          <w:rFonts w:hint="default" w:ascii="Times New Roman Regular" w:hAnsi="Times New Roman Regular" w:eastAsia="Arial" w:cs="Times New Roman Regular"/>
          <w:b/>
          <w:bCs/>
          <w:color w:val="auto"/>
          <w:sz w:val="34"/>
          <w:szCs w:val="34"/>
        </w:rPr>
        <w:t xml:space="preserve">05 – </w:t>
      </w:r>
      <w:r>
        <w:rPr>
          <w:rStyle w:val="73"/>
          <w:rFonts w:hint="default" w:ascii="Times New Roman Regular" w:hAnsi="Times New Roman Regular" w:cs="Times New Roman Regular"/>
          <w:b/>
          <w:bCs w:val="0"/>
          <w:color w:val="auto"/>
        </w:rPr>
        <w:t>Business Continuity and Disaster Recovery Assignment</w:t>
      </w:r>
    </w:p>
    <w:bookmarkEnd w:id="31"/>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2"/>
        <w:gridCol w:w="7496"/>
      </w:tblGrid>
      <w:tr w14:paraId="77E921BB">
        <w:trPr>
          <w:cantSplit/>
          <w:tblHeader/>
        </w:trPr>
        <w:tc>
          <w:tcPr>
            <w:tcW w:w="2142"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71B67F7C">
            <w:pPr>
              <w:spacing w:after="0" w:line="240" w:lineRule="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Field</w:t>
            </w:r>
          </w:p>
        </w:tc>
        <w:tc>
          <w:tcPr>
            <w:tcW w:w="7496"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57CCCB9">
            <w:pPr>
              <w:spacing w:after="0" w:line="240" w:lineRule="auto"/>
              <w:rPr>
                <w:rFonts w:hint="default" w:ascii="Times New Roman Regular" w:hAnsi="Times New Roman Regular" w:cs="Times New Roman Regular"/>
                <w:color w:val="auto"/>
                <w:lang w:val="en-US"/>
              </w:rPr>
            </w:pPr>
            <w:r>
              <w:rPr>
                <w:rFonts w:hint="default" w:ascii="Times New Roman Regular" w:hAnsi="Times New Roman Regular" w:eastAsia="Arial" w:cs="Times New Roman Regular"/>
                <w:b/>
                <w:bCs/>
                <w:color w:val="auto"/>
                <w:sz w:val="20"/>
                <w:szCs w:val="20"/>
              </w:rPr>
              <w:t>Detail</w:t>
            </w:r>
            <w:r>
              <w:rPr>
                <w:rFonts w:hint="default" w:ascii="Times New Roman Regular" w:hAnsi="Times New Roman Regular" w:eastAsia="Arial" w:cs="Times New Roman Regular"/>
                <w:b/>
                <w:bCs/>
                <w:color w:val="auto"/>
                <w:sz w:val="20"/>
                <w:szCs w:val="20"/>
                <w:lang w:val="en-US"/>
              </w:rPr>
              <w:t>s</w:t>
            </w:r>
          </w:p>
        </w:tc>
      </w:tr>
      <w:tr w14:paraId="33EA3DE4">
        <w:trPr>
          <w:cantSplit/>
        </w:trPr>
        <w:tc>
          <w:tcPr>
            <w:tcW w:w="21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9639279">
            <w:pPr>
              <w:spacing w:after="0" w:line="240" w:lineRule="auto"/>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0"/>
                <w:szCs w:val="20"/>
              </w:rPr>
              <w:t>Student Name</w:t>
            </w:r>
          </w:p>
        </w:tc>
        <w:tc>
          <w:tcPr>
            <w:tcW w:w="7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2B1021B">
            <w:pPr>
              <w:spacing w:after="0" w:line="240" w:lineRule="auto"/>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t>Dolapo Olayimika Johnson</w:t>
            </w:r>
          </w:p>
        </w:tc>
      </w:tr>
      <w:tr w14:paraId="4625AEAE">
        <w:trPr>
          <w:cantSplit/>
        </w:trPr>
        <w:tc>
          <w:tcPr>
            <w:tcW w:w="21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997289F">
            <w:pPr>
              <w:spacing w:after="0" w:line="240" w:lineRule="auto"/>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0"/>
                <w:szCs w:val="20"/>
              </w:rPr>
              <w:t>Student ID</w:t>
            </w:r>
          </w:p>
        </w:tc>
        <w:tc>
          <w:tcPr>
            <w:tcW w:w="7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93B4106">
            <w:pPr>
              <w:keepNext w:val="0"/>
              <w:keepLines w:val="0"/>
              <w:widowControl/>
              <w:suppressLineNumbers w:val="0"/>
              <w:spacing w:line="240" w:lineRule="auto"/>
              <w:ind w:left="0"/>
              <w:rPr>
                <w:rFonts w:hint="default" w:ascii="Times New Roman Regular" w:hAnsi="Times New Roman Regular" w:cs="Times New Roman Regular"/>
                <w:color w:val="auto"/>
              </w:rPr>
            </w:pPr>
            <w:r>
              <w:rPr>
                <w:rFonts w:hint="default" w:ascii="Times New Roman Regular" w:hAnsi="Times New Roman Regular" w:cs="Times New Roman Regular"/>
                <w:i w:val="0"/>
                <w:iCs w:val="0"/>
                <w:caps w:val="0"/>
                <w:color w:val="auto"/>
                <w:spacing w:val="-2"/>
                <w:u w:val="none"/>
                <w:shd w:val="clear" w:fill="FFFFFF"/>
              </w:rPr>
              <w:t>2025/GCR/12672</w:t>
            </w:r>
          </w:p>
        </w:tc>
      </w:tr>
      <w:tr w14:paraId="0A494D53">
        <w:trPr>
          <w:cantSplit/>
        </w:trPr>
        <w:tc>
          <w:tcPr>
            <w:tcW w:w="21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A8DB5C1">
            <w:pPr>
              <w:spacing w:after="0" w:line="240" w:lineRule="auto"/>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0"/>
                <w:szCs w:val="20"/>
              </w:rPr>
              <w:t>Official Email</w:t>
            </w:r>
          </w:p>
        </w:tc>
        <w:tc>
          <w:tcPr>
            <w:tcW w:w="7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3CEA219">
            <w:pPr>
              <w:spacing w:after="0"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gcr2512672@students.icdfa.edu.ng</w:t>
            </w:r>
          </w:p>
        </w:tc>
      </w:tr>
      <w:tr w14:paraId="75E54899">
        <w:trPr>
          <w:cantSplit/>
        </w:trPr>
        <w:tc>
          <w:tcPr>
            <w:tcW w:w="21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494F6AE">
            <w:pPr>
              <w:spacing w:after="0" w:line="240" w:lineRule="auto"/>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0"/>
                <w:szCs w:val="20"/>
              </w:rPr>
              <w:t>Course</w:t>
            </w:r>
          </w:p>
        </w:tc>
        <w:tc>
          <w:tcPr>
            <w:tcW w:w="7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vAlign w:val="top"/>
          </w:tcPr>
          <w:p w14:paraId="17CC133D">
            <w:pPr>
              <w:bidi w:val="0"/>
              <w:spacing w:line="240" w:lineRule="auto"/>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rPr>
              <w:t>GRC205 – Business Continuity and Disaster Recovery Assignment</w:t>
            </w:r>
          </w:p>
        </w:tc>
      </w:tr>
      <w:tr w14:paraId="6A292C62">
        <w:trPr>
          <w:cantSplit/>
        </w:trPr>
        <w:tc>
          <w:tcPr>
            <w:tcW w:w="2142"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20948CB">
            <w:pPr>
              <w:spacing w:after="0" w:line="240" w:lineRule="auto"/>
              <w:rPr>
                <w:rFonts w:hint="default" w:ascii="Times New Roman Regular" w:hAnsi="Times New Roman Regular" w:eastAsia="Arial" w:cs="Times New Roman Regular"/>
                <w:b w:val="0"/>
                <w:bCs w:val="0"/>
                <w:color w:val="auto"/>
                <w:sz w:val="20"/>
                <w:szCs w:val="20"/>
                <w:lang w:val="en-US"/>
              </w:rPr>
            </w:pPr>
            <w:r>
              <w:rPr>
                <w:rFonts w:hint="default" w:ascii="Times New Roman Regular" w:hAnsi="Times New Roman Regular" w:cs="Times New Roman Regular"/>
                <w:b w:val="0"/>
                <w:bCs w:val="0"/>
                <w:color w:val="auto"/>
                <w:sz w:val="20"/>
                <w:szCs w:val="20"/>
                <w:lang w:val="en-US"/>
              </w:rPr>
              <w:t>Date</w:t>
            </w:r>
          </w:p>
        </w:tc>
        <w:tc>
          <w:tcPr>
            <w:tcW w:w="749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3BBF78">
            <w:pPr>
              <w:spacing w:after="0" w:line="240" w:lineRule="auto"/>
              <w:rPr>
                <w:rFonts w:hint="default" w:ascii="Times New Roman Regular" w:hAnsi="Times New Roman Regular" w:eastAsia="Arial" w:cs="Times New Roman Regular"/>
                <w:b w:val="0"/>
                <w:bCs w:val="0"/>
                <w:color w:val="auto"/>
                <w:sz w:val="20"/>
                <w:szCs w:val="20"/>
                <w:lang w:val="en-US"/>
              </w:rPr>
            </w:pPr>
            <w:r>
              <w:rPr>
                <w:rFonts w:hint="default" w:ascii="Times New Roman Regular" w:hAnsi="Times New Roman Regular" w:cs="Times New Roman Regular"/>
                <w:b w:val="0"/>
                <w:bCs w:val="0"/>
                <w:color w:val="auto"/>
                <w:sz w:val="20"/>
                <w:szCs w:val="20"/>
                <w:lang w:val="en-US"/>
              </w:rPr>
              <w:t>19</w:t>
            </w:r>
            <w:r>
              <w:rPr>
                <w:rFonts w:hint="default" w:ascii="Times New Roman Regular" w:hAnsi="Times New Roman Regular" w:cs="Times New Roman Regular"/>
                <w:b w:val="0"/>
                <w:bCs w:val="0"/>
                <w:color w:val="auto"/>
                <w:sz w:val="20"/>
                <w:szCs w:val="20"/>
                <w:vertAlign w:val="superscript"/>
                <w:lang w:val="en-US"/>
              </w:rPr>
              <w:t>th</w:t>
            </w:r>
            <w:r>
              <w:rPr>
                <w:rFonts w:hint="default" w:ascii="Times New Roman Regular" w:hAnsi="Times New Roman Regular" w:cs="Times New Roman Regular"/>
                <w:b w:val="0"/>
                <w:bCs w:val="0"/>
                <w:color w:val="auto"/>
                <w:sz w:val="20"/>
                <w:szCs w:val="20"/>
                <w:lang w:val="en-US"/>
              </w:rPr>
              <w:t xml:space="preserve"> October, 2026</w:t>
            </w:r>
          </w:p>
        </w:tc>
      </w:tr>
    </w:tbl>
    <w:p w14:paraId="4B61CD37">
      <w:pPr>
        <w:pStyle w:val="4"/>
        <w:spacing w:line="240" w:lineRule="auto"/>
        <w:rPr>
          <w:rFonts w:hint="default" w:ascii="Times New Roman Regular" w:hAnsi="Times New Roman Regular" w:cs="Times New Roman Regular"/>
          <w:color w:val="auto"/>
        </w:rPr>
      </w:pPr>
      <w:bookmarkStart w:id="1" w:name="executive-summary"/>
      <w:r>
        <w:rPr>
          <w:rFonts w:hint="default" w:ascii="Times New Roman Regular" w:hAnsi="Times New Roman Regular" w:cs="Times New Roman Regular"/>
          <w:color w:val="auto"/>
        </w:rPr>
        <w:t>Executive summary</w:t>
      </w:r>
    </w:p>
    <w:p w14:paraId="7E375629">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 am treating the 08:00 WAT flooding and power failure as a business disruption first. Northbridge’s main site is expected to be inaccessible for 72 hours, but Microsoft 365 email and identity are still available over mobile internet. That gives the institute a way to coordinate people, even though the local applications cannot be used yet. The first difficult decision is the 11:00 examination. After that, fee confirmation is due at 16:00 and admissions close at 18:00. My priority is to keep learners treated fairly, protect records and prevent incorrect payments or registrations while the technical team works through the dependencies.</w:t>
      </w:r>
    </w:p>
    <w:p w14:paraId="4E4C4D4C">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Using the rates in the brief, I calculate a possible disruption cost of NGN 1,200,000 after eight hours and NGN 3,360,000 after 24 hours if no continuity or recovery measures are used. These totals include the NGN 120,000 examination rescheduling cost once. The warm-site timings also show a real problem: even if the team follows the supplied sequence, LMS01 is not ready until 11:45. So the institute cannot rely on system restoration alone to save the 11:00 exam. I recommend the Hot option because it is closest to the tighter recovery targets, but it costs the full NGN 3,000,000 allowance and its advertised timings must be proven.</w:t>
      </w:r>
    </w:p>
    <w:bookmarkEnd w:id="1"/>
    <w:p w14:paraId="2CB4F3CA">
      <w:pPr>
        <w:pStyle w:val="4"/>
        <w:spacing w:line="240" w:lineRule="auto"/>
        <w:rPr>
          <w:rFonts w:hint="default" w:ascii="Times New Roman Regular" w:hAnsi="Times New Roman Regular" w:cs="Times New Roman Regular"/>
          <w:color w:val="auto"/>
        </w:rPr>
      </w:pPr>
      <w:bookmarkStart w:id="2" w:name="scenario-scope-and-assumptions"/>
      <w:r>
        <w:rPr>
          <w:rFonts w:hint="default" w:ascii="Times New Roman Regular" w:hAnsi="Times New Roman Regular" w:cs="Times New Roman Regular"/>
          <w:color w:val="auto"/>
        </w:rPr>
        <w:t>Scenario, scope and assumptions</w:t>
      </w:r>
    </w:p>
    <w:p w14:paraId="2595D2BE">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institute has 1,800 learners and 90 staff. The main site is expected to be inaccessible for 72 hours. Two technicians are available; an alternate facility can provide 25 workstations from 10:00. For the scheduled examination, 40 of 120 learners require centre workstations and 80 can use their own devices. No cyberattack is confirmed, so this is initially a physical-disruption incident; suspicious access or data integrity evidence would activate the incident response process as well.</w:t>
      </w:r>
    </w:p>
    <w:p w14:paraId="045F1160">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All cost figures are exercise estimates, not observed losses. Proposed recovery objectives and schedules are recommendations, not existing commitments or live test results. The assignment’s supplied warm-site timings are used for Task 5. The brief does not provide the teaching deck’s slide 13 maturity model detail, so the maturity assessment below is explicitly provisional and should be checked against that slide before submission.</w:t>
      </w:r>
    </w:p>
    <w:bookmarkEnd w:id="2"/>
    <w:p w14:paraId="6FFE5093">
      <w:pPr>
        <w:pStyle w:val="4"/>
        <w:spacing w:line="240" w:lineRule="auto"/>
        <w:rPr>
          <w:rFonts w:hint="default" w:ascii="Times New Roman Regular" w:hAnsi="Times New Roman Regular" w:cs="Times New Roman Regular"/>
          <w:color w:val="auto"/>
        </w:rPr>
      </w:pPr>
      <w:bookmarkStart w:id="3" w:name="task-1-business-impact-analysis-bia"/>
      <w:r>
        <w:rPr>
          <w:rFonts w:hint="default" w:ascii="Times New Roman Regular" w:hAnsi="Times New Roman Regular" w:cs="Times New Roman Regular"/>
          <w:color w:val="auto"/>
        </w:rPr>
        <w:t>Task 1 – Business Impact Analysis (BIA)</w:t>
      </w:r>
    </w:p>
    <w:p w14:paraId="3CF20DA0">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BIA considers what each service must deliver, who relies on it, how quickly its disruption becomes unacceptable, and which people, premises, suppliers and information are needed. The technical restoration sequence differs from business priority because four functions share AUTH01 and DB01.</w:t>
      </w:r>
    </w:p>
    <w:p w14:paraId="435EACFE">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Table 1: Business impact analysis by function</w:t>
      </w:r>
    </w:p>
    <w:tbl>
      <w:tblPr>
        <w:tblStyle w:val="31"/>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398"/>
        <w:gridCol w:w="2101"/>
        <w:gridCol w:w="3622"/>
        <w:gridCol w:w="2507"/>
      </w:tblGrid>
      <w:tr w14:paraId="638F77EB">
        <w:trPr>
          <w:cantSplit/>
          <w:tblHeader/>
        </w:trPr>
        <w:tc>
          <w:tcPr>
            <w:shd w:val="clear" w:color="auto" w:fill="D9E2F3"/>
          </w:tcPr>
          <w:p w14:paraId="309BBB4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Function / owner</w:t>
            </w:r>
          </w:p>
        </w:tc>
        <w:tc>
          <w:tcPr>
            <w:shd w:val="clear" w:color="auto" w:fill="D9E2F3"/>
          </w:tcPr>
          <w:p w14:paraId="70CB0FE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Users and resources</w:t>
            </w:r>
          </w:p>
        </w:tc>
        <w:tc>
          <w:tcPr>
            <w:shd w:val="clear" w:color="auto" w:fill="D9E2F3"/>
          </w:tcPr>
          <w:p w14:paraId="7EB437D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Dependencies and minimum acceptable service</w:t>
            </w:r>
          </w:p>
        </w:tc>
        <w:tc>
          <w:tcPr>
            <w:shd w:val="clear" w:color="auto" w:fill="D9E2F3"/>
          </w:tcPr>
          <w:p w14:paraId="7F079EF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Priority and impact over time</w:t>
            </w:r>
          </w:p>
        </w:tc>
      </w:tr>
      <w:tr w14:paraId="6A1E2DA3">
        <w:trPr>
          <w:cantSplit/>
        </w:trPr>
        <w:tc>
          <w:p w14:paraId="3806232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F1 Teaching and assessment / Academic Assessment Lead</w:t>
            </w:r>
          </w:p>
        </w:tc>
        <w:tc>
          <w:p w14:paraId="672455C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120 exam candidates, teaching staff, invigilators; LMS01, DB01, secure exam content, accessible workstations and suitable room.</w:t>
            </w:r>
          </w:p>
        </w:tc>
        <w:tc>
          <w:p w14:paraId="7D5326F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Recovery network, AUTH01, DB01, LMS01, trained invigilators, secure devices, learner list and communications. Minimum service: approved assessment platform or formally approved rescheduling; verify identity, accessibility, timing, invigilation and auditable incident log.</w:t>
            </w:r>
          </w:p>
        </w:tc>
        <w:tc>
          <w:p w14:paraId="04542E4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Priority 1. 11:00 exam start is a hard decision point; NGN 60,000/hour plus NGN 120,000 one-off rescheduling trigger. Learner fairness and integrity outweigh cost alone.</w:t>
            </w:r>
          </w:p>
        </w:tc>
      </w:tr>
      <w:tr w14:paraId="09675C34">
        <w:trPr>
          <w:cantSplit/>
        </w:trPr>
        <w:tc>
          <w:p w14:paraId="1095392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F2 Fees and finance / Finance Manager</w:t>
            </w:r>
          </w:p>
        </w:tc>
        <w:tc>
          <w:p w14:paraId="57D9027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Learners, finance staff and external payment provider; FIN01, DB01, payment confirmations and transaction records.</w:t>
            </w:r>
          </w:p>
        </w:tc>
        <w:tc>
          <w:p w14:paraId="6E480B7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Network, AUTH01, DB01, FIN01, provider access and reconciliation records. Minimum service: provider transactions recorded in a controlled temporary ledger, two-person review, unique references, receipts and later reconciliation; do not claim local wallet updated until verified.</w:t>
            </w:r>
          </w:p>
        </w:tc>
        <w:tc>
          <w:p w14:paraId="0333509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Priority 2. Fee confirmation due 16:00 Day 0; NGN 40,000/hour. Incorrect balances can harm learners and create disputes.</w:t>
            </w:r>
          </w:p>
        </w:tc>
      </w:tr>
      <w:tr w14:paraId="2014AF36">
        <w:trPr>
          <w:cantSplit/>
        </w:trPr>
        <w:tc>
          <w:p w14:paraId="1BD6773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F3 Admissions and registration / Admissions Manager</w:t>
            </w:r>
          </w:p>
        </w:tc>
        <w:tc>
          <w:p w14:paraId="536FA0C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Applicants, learners and admissions staff; REG01, DB01, application records and deadline list.</w:t>
            </w:r>
          </w:p>
        </w:tc>
        <w:tc>
          <w:p w14:paraId="2C60C24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Network, AUTH01, DB01, REG01 and secure forms. Minimum service: time-stamped, access-controlled intake register with acknowledgement, duplicate check and approval before later entry.</w:t>
            </w:r>
          </w:p>
        </w:tc>
        <w:tc>
          <w:p w14:paraId="123B52A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Priority 3. Admissions close 18:00 Day 0; NGN 20,000/hour. Missing or duplicate applications can affect access and reputation.</w:t>
            </w:r>
          </w:p>
        </w:tc>
      </w:tr>
      <w:tr w14:paraId="3B7BCEF4">
        <w:trPr>
          <w:cantSplit/>
        </w:trPr>
        <w:tc>
          <w:p w14:paraId="16697F7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F4 Staff payroll / HR Manager</w:t>
            </w:r>
          </w:p>
        </w:tc>
        <w:tc>
          <w:p w14:paraId="4FF976D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90 staff, HR/payroll staff and bank; HR01, DB01 and validated payroll instructions.</w:t>
            </w:r>
          </w:p>
        </w:tc>
        <w:tc>
          <w:p w14:paraId="0DBFA40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Network, AUTH01, DB01, HR01, bank channel and prior approved payroll data. Minimum service: freeze unverified changes; use a restricted payroll exception sheet, independent approval and duplicate-payment checks before Day 1 12:00.</w:t>
            </w:r>
          </w:p>
        </w:tc>
        <w:tc>
          <w:p w14:paraId="3D8A089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Priority 4, but deadline-sensitive. NGN 10,000/hour. Incorrect instructions can affect wages and be difficult to reverse.</w:t>
            </w:r>
          </w:p>
        </w:tc>
      </w:tr>
      <w:tr w14:paraId="74D44182">
        <w:trPr>
          <w:cantSplit/>
        </w:trPr>
        <w:tc>
          <w:p w14:paraId="343B3FB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F5 Records and certificates / Records Officer</w:t>
            </w:r>
          </w:p>
        </w:tc>
        <w:tc>
          <w:p w14:paraId="334E622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Learners, alumni and authorised staff; FS01, protected files and request register.</w:t>
            </w:r>
          </w:p>
        </w:tc>
        <w:tc>
          <w:p w14:paraId="701E985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Network, AUTH01, FS01, permissions and records officer. Minimum service: log requests and deadlines, provide only verified copies from an approved source, protect personal data and queue non-urgent requests within the 48-hour commitment.</w:t>
            </w:r>
          </w:p>
        </w:tc>
        <w:tc>
          <w:p w14:paraId="6B1817B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Priority 5 for restoration; NGN 5,000/hour. Confidentiality and record integrity remain mandatory.</w:t>
            </w:r>
          </w:p>
        </w:tc>
      </w:tr>
    </w:tbl>
    <w:p w14:paraId="640C9AF4">
      <w:pPr>
        <w:pStyle w:val="5"/>
        <w:spacing w:line="240" w:lineRule="auto"/>
        <w:rPr>
          <w:rFonts w:hint="default" w:ascii="Times New Roman Regular" w:hAnsi="Times New Roman Regular" w:cs="Times New Roman Regular"/>
          <w:color w:val="auto"/>
        </w:rPr>
      </w:pPr>
      <w:bookmarkStart w:id="4" w:name="impact-calculations"/>
      <w:r>
        <w:rPr>
          <w:rFonts w:hint="default" w:ascii="Times New Roman Regular" w:hAnsi="Times New Roman Regular" w:cs="Times New Roman Regular"/>
          <w:color w:val="auto"/>
        </w:rPr>
        <w:t>Impact calculations</w:t>
      </w:r>
    </w:p>
    <w:p w14:paraId="5FE0121E">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brief requires the supplied hourly rates to be treated as separate, non-overlapping incremental costs. For eight hours, each rate is multiplied by 8; for 24 hours, by 24. Because no service is assumed to recover, the 11:00 exam trigger is met in both cases and NGN 120,000 is added once to F1.</w:t>
      </w:r>
    </w:p>
    <w:p w14:paraId="4DB8CB5B">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Table 2: Disruption cost at 8 and 24 hours (NGN)</w:t>
      </w:r>
    </w:p>
    <w:tbl>
      <w:tblPr>
        <w:tblStyle w:val="31"/>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035"/>
        <w:gridCol w:w="1035"/>
        <w:gridCol w:w="1828"/>
        <w:gridCol w:w="1359"/>
        <w:gridCol w:w="1920"/>
        <w:gridCol w:w="1451"/>
      </w:tblGrid>
      <w:tr w14:paraId="45EA9B5C">
        <w:trPr>
          <w:cantSplit/>
          <w:tblHeader/>
        </w:trPr>
        <w:tc>
          <w:tcPr>
            <w:shd w:val="clear" w:color="auto" w:fill="D9E2F3"/>
          </w:tcPr>
          <w:p w14:paraId="4BABC12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Function</w:t>
            </w:r>
          </w:p>
        </w:tc>
        <w:tc>
          <w:tcPr>
            <w:shd w:val="clear" w:color="auto" w:fill="D9E2F3"/>
          </w:tcPr>
          <w:p w14:paraId="71828FC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Rate/hour</w:t>
            </w:r>
          </w:p>
        </w:tc>
        <w:tc>
          <w:tcPr>
            <w:shd w:val="clear" w:color="auto" w:fill="D9E2F3"/>
          </w:tcPr>
          <w:p w14:paraId="0300819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8-hour calculation</w:t>
            </w:r>
          </w:p>
        </w:tc>
        <w:tc>
          <w:tcPr>
            <w:shd w:val="clear" w:color="auto" w:fill="D9E2F3"/>
          </w:tcPr>
          <w:p w14:paraId="720DED4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8-hour impact</w:t>
            </w:r>
          </w:p>
        </w:tc>
        <w:tc>
          <w:tcPr>
            <w:shd w:val="clear" w:color="auto" w:fill="D9E2F3"/>
          </w:tcPr>
          <w:p w14:paraId="5D939E9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24-hour calculation</w:t>
            </w:r>
          </w:p>
        </w:tc>
        <w:tc>
          <w:tcPr>
            <w:shd w:val="clear" w:color="auto" w:fill="D9E2F3"/>
          </w:tcPr>
          <w:p w14:paraId="793F11A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24-hour impact</w:t>
            </w:r>
          </w:p>
        </w:tc>
      </w:tr>
      <w:tr w14:paraId="65F3FD5A">
        <w:trPr>
          <w:cantSplit/>
        </w:trPr>
        <w:tc>
          <w:p w14:paraId="5C4A6AE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F1 Teaching/assessment</w:t>
            </w:r>
          </w:p>
        </w:tc>
        <w:tc>
          <w:p w14:paraId="37D643A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60,000</w:t>
            </w:r>
          </w:p>
        </w:tc>
        <w:tc>
          <w:p w14:paraId="11D4033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60,000 × 8 + 120,000</w:t>
            </w:r>
          </w:p>
        </w:tc>
        <w:tc>
          <w:p w14:paraId="72A40FF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600,000</w:t>
            </w:r>
          </w:p>
        </w:tc>
        <w:tc>
          <w:p w14:paraId="687812A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60,000 × 24 + 120,000</w:t>
            </w:r>
          </w:p>
        </w:tc>
        <w:tc>
          <w:p w14:paraId="2376C8A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1,560,000</w:t>
            </w:r>
          </w:p>
        </w:tc>
      </w:tr>
      <w:tr w14:paraId="48AF4D8E">
        <w:trPr>
          <w:cantSplit/>
        </w:trPr>
        <w:tc>
          <w:p w14:paraId="1C55433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F2 Fees/finance</w:t>
            </w:r>
          </w:p>
        </w:tc>
        <w:tc>
          <w:p w14:paraId="7C43BD4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40,000</w:t>
            </w:r>
          </w:p>
        </w:tc>
        <w:tc>
          <w:p w14:paraId="7C676FD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40,000 × 8</w:t>
            </w:r>
          </w:p>
        </w:tc>
        <w:tc>
          <w:p w14:paraId="61B2974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320,000</w:t>
            </w:r>
          </w:p>
        </w:tc>
        <w:tc>
          <w:p w14:paraId="4AE1144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40,000 × 24</w:t>
            </w:r>
          </w:p>
        </w:tc>
        <w:tc>
          <w:p w14:paraId="7B026CC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960,000</w:t>
            </w:r>
          </w:p>
        </w:tc>
      </w:tr>
      <w:tr w14:paraId="67B2EF43">
        <w:trPr>
          <w:cantSplit/>
        </w:trPr>
        <w:tc>
          <w:p w14:paraId="3B4C73B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F3 Admissions</w:t>
            </w:r>
          </w:p>
        </w:tc>
        <w:tc>
          <w:p w14:paraId="4C1829F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20,000</w:t>
            </w:r>
          </w:p>
        </w:tc>
        <w:tc>
          <w:p w14:paraId="2AE3084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20,000 × 8</w:t>
            </w:r>
          </w:p>
        </w:tc>
        <w:tc>
          <w:p w14:paraId="507B1CC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160,000</w:t>
            </w:r>
          </w:p>
        </w:tc>
        <w:tc>
          <w:p w14:paraId="6FF743C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20,000 × 24</w:t>
            </w:r>
          </w:p>
        </w:tc>
        <w:tc>
          <w:p w14:paraId="1E47FFA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480,000</w:t>
            </w:r>
          </w:p>
        </w:tc>
      </w:tr>
      <w:tr w14:paraId="77E6D860">
        <w:trPr>
          <w:cantSplit/>
        </w:trPr>
        <w:tc>
          <w:p w14:paraId="4626EF8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F4 Payroll</w:t>
            </w:r>
          </w:p>
        </w:tc>
        <w:tc>
          <w:p w14:paraId="4902F42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10,000</w:t>
            </w:r>
          </w:p>
        </w:tc>
        <w:tc>
          <w:p w14:paraId="5DCFB97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10,000 × 8</w:t>
            </w:r>
          </w:p>
        </w:tc>
        <w:tc>
          <w:p w14:paraId="5DB8721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80,000</w:t>
            </w:r>
          </w:p>
        </w:tc>
        <w:tc>
          <w:p w14:paraId="3CEB269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10,000 × 24</w:t>
            </w:r>
          </w:p>
        </w:tc>
        <w:tc>
          <w:p w14:paraId="46F5AA5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240,000</w:t>
            </w:r>
          </w:p>
        </w:tc>
      </w:tr>
      <w:tr w14:paraId="52F1A847">
        <w:trPr>
          <w:cantSplit/>
        </w:trPr>
        <w:tc>
          <w:p w14:paraId="27DA6FD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F5 Records/certificates</w:t>
            </w:r>
          </w:p>
        </w:tc>
        <w:tc>
          <w:p w14:paraId="70B9DB8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5,000</w:t>
            </w:r>
          </w:p>
        </w:tc>
        <w:tc>
          <w:p w14:paraId="31056AB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5,000 × 8</w:t>
            </w:r>
          </w:p>
        </w:tc>
        <w:tc>
          <w:p w14:paraId="412F3C0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40,000</w:t>
            </w:r>
          </w:p>
        </w:tc>
        <w:tc>
          <w:p w14:paraId="3F8CB5D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5,000 × 24</w:t>
            </w:r>
          </w:p>
        </w:tc>
        <w:tc>
          <w:p w14:paraId="4300B02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120,000</w:t>
            </w:r>
          </w:p>
        </w:tc>
      </w:tr>
      <w:tr w14:paraId="500060A9">
        <w:trPr>
          <w:cantSplit/>
        </w:trPr>
        <w:tc>
          <w:p w14:paraId="7565257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TOTAL</w:t>
            </w:r>
          </w:p>
        </w:tc>
        <w:tc>
          <w:p w14:paraId="5C48B045">
            <w:pPr>
              <w:pStyle w:val="26"/>
              <w:spacing w:after="40" w:line="240" w:lineRule="auto"/>
              <w:rPr>
                <w:rFonts w:hint="default" w:ascii="Times New Roman Regular" w:hAnsi="Times New Roman Regular" w:cs="Times New Roman Regular"/>
                <w:color w:val="auto"/>
              </w:rPr>
            </w:pPr>
          </w:p>
        </w:tc>
        <w:tc>
          <w:p w14:paraId="5BFA6E33">
            <w:pPr>
              <w:pStyle w:val="26"/>
              <w:spacing w:after="40" w:line="240" w:lineRule="auto"/>
              <w:rPr>
                <w:rFonts w:hint="default" w:ascii="Times New Roman Regular" w:hAnsi="Times New Roman Regular" w:cs="Times New Roman Regular"/>
                <w:color w:val="auto"/>
              </w:rPr>
            </w:pPr>
          </w:p>
        </w:tc>
        <w:tc>
          <w:p w14:paraId="2B83EF5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1,200,000</w:t>
            </w:r>
          </w:p>
        </w:tc>
        <w:tc>
          <w:p w14:paraId="1B5388AB">
            <w:pPr>
              <w:pStyle w:val="26"/>
              <w:spacing w:after="40" w:line="240" w:lineRule="auto"/>
              <w:rPr>
                <w:rFonts w:hint="default" w:ascii="Times New Roman Regular" w:hAnsi="Times New Roman Regular" w:cs="Times New Roman Regular"/>
                <w:color w:val="auto"/>
              </w:rPr>
            </w:pPr>
          </w:p>
        </w:tc>
        <w:tc>
          <w:p w14:paraId="38B8AB6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3,360,000</w:t>
            </w:r>
          </w:p>
        </w:tc>
      </w:tr>
    </w:tbl>
    <w:p w14:paraId="411E0BAF">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Two limitations are important. First, the hourly figures are simplified exercise estimates and may not capture nonlinear effects, overtime, refunds, legal costs, lost future enrolments or the difference between peak and quiet periods. Second, the estimates cannot adequately price learner welfare, unfair assessment conditions, reputational damage, privacy exposure or irreversible data-integrity errors. Financial loss is one input, not the sole measure of impact.</w:t>
      </w:r>
    </w:p>
    <w:bookmarkEnd w:id="4"/>
    <w:p w14:paraId="4ABEF483">
      <w:pPr>
        <w:pStyle w:val="5"/>
        <w:spacing w:line="240" w:lineRule="auto"/>
        <w:rPr>
          <w:rFonts w:hint="default" w:ascii="Times New Roman Regular" w:hAnsi="Times New Roman Regular" w:cs="Times New Roman Regular"/>
          <w:color w:val="auto"/>
        </w:rPr>
      </w:pPr>
      <w:bookmarkStart w:id="5" w:name="dependency-order-and-key-risks"/>
      <w:r>
        <w:rPr>
          <w:rFonts w:hint="default" w:ascii="Times New Roman Regular" w:hAnsi="Times New Roman Regular" w:cs="Times New Roman Regular"/>
          <w:color w:val="auto"/>
        </w:rPr>
        <w:t>Dependency order and key risks</w:t>
      </w:r>
    </w:p>
    <w:p w14:paraId="6D5AFABF">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business priority is F1, then F2, F3, F4 and F5, subject to their hard deadlines and the need to protect records. The technical dependency order is network → AUTH01 → security/backup checks → DB01 → LMS01/FIN01/REG01/HR01, with FS01 after AUTH01 and security checks. Key dependency risks include (1) AUTH01 failure blocking all local applications, (2) DB01 corruption affecting four functions at once, (3) shared administrator identity allowing a single compromised credential to affect production and backups, and (4) limited alternate workstations constraining safe assessment delivery.</w:t>
      </w:r>
    </w:p>
    <w:bookmarkEnd w:id="3"/>
    <w:bookmarkEnd w:id="5"/>
    <w:p w14:paraId="766F87B2">
      <w:pPr>
        <w:pStyle w:val="4"/>
        <w:spacing w:line="240" w:lineRule="auto"/>
        <w:rPr>
          <w:rFonts w:hint="default" w:ascii="Times New Roman Regular" w:hAnsi="Times New Roman Regular" w:cs="Times New Roman Regular"/>
          <w:color w:val="auto"/>
        </w:rPr>
      </w:pPr>
      <w:bookmarkStart w:id="6" w:name="X2ce202e1ca23afb91b8f187b7861c115bab96d5"/>
      <w:r>
        <w:rPr>
          <w:rFonts w:hint="default" w:ascii="Times New Roman Regular" w:hAnsi="Times New Roman Regular" w:cs="Times New Roman Regular"/>
          <w:color w:val="auto"/>
        </w:rPr>
        <w:t>Task 2 – Recovery objectives and backup design</w:t>
      </w:r>
    </w:p>
    <w:p w14:paraId="3EAF46CE">
      <w:pPr>
        <w:pStyle w:val="5"/>
        <w:spacing w:line="240" w:lineRule="auto"/>
        <w:rPr>
          <w:rFonts w:hint="default" w:ascii="Times New Roman Regular" w:hAnsi="Times New Roman Regular" w:cs="Times New Roman Regular"/>
          <w:color w:val="auto"/>
        </w:rPr>
      </w:pPr>
      <w:bookmarkStart w:id="7" w:name="recovery-objectives"/>
      <w:r>
        <w:rPr>
          <w:rFonts w:hint="default" w:ascii="Times New Roman Regular" w:hAnsi="Times New Roman Regular" w:cs="Times New Roman Regular"/>
          <w:color w:val="auto"/>
        </w:rPr>
        <w:t>Recovery objectives</w:t>
      </w:r>
    </w:p>
    <w:p w14:paraId="1527E051">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Recovery Time Objective (RTO) is the target time from disruption to restoring a defined service. Recovery Point Objective (RPO) is the maximum acceptable amount of data loss measured backwards from disruption. Maximum Tolerable Downtime (MTD) is the longest period a function can be disrupted before the consequences become unacceptable. Service is declared recovered only after technical checks and business-owner acceptance; a server booting is not sufficient. The RTOs below leave a buffer before MTD, while hard deadlines still require continuity workarounds.</w:t>
      </w:r>
    </w:p>
    <w:p w14:paraId="3A91272A">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Table 3: Proposed RTO, RPO and MTD by function</w:t>
      </w:r>
    </w:p>
    <w:tbl>
      <w:tblPr>
        <w:tblStyle w:val="31"/>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067"/>
        <w:gridCol w:w="2211"/>
        <w:gridCol w:w="1932"/>
        <w:gridCol w:w="1807"/>
        <w:gridCol w:w="2611"/>
      </w:tblGrid>
      <w:tr w14:paraId="6E42F7B5">
        <w:trPr>
          <w:cantSplit/>
          <w:tblHeader/>
        </w:trPr>
        <w:tc>
          <w:tcPr>
            <w:shd w:val="clear" w:color="auto" w:fill="D9E2F3"/>
          </w:tcPr>
          <w:p w14:paraId="078A1F0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Function</w:t>
            </w:r>
          </w:p>
        </w:tc>
        <w:tc>
          <w:tcPr>
            <w:shd w:val="clear" w:color="auto" w:fill="D9E2F3"/>
          </w:tcPr>
          <w:p w14:paraId="2E73B64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Proposed RTO</w:t>
            </w:r>
          </w:p>
        </w:tc>
        <w:tc>
          <w:tcPr>
            <w:shd w:val="clear" w:color="auto" w:fill="D9E2F3"/>
          </w:tcPr>
          <w:p w14:paraId="07D6EC9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Proposed RPO</w:t>
            </w:r>
          </w:p>
        </w:tc>
        <w:tc>
          <w:tcPr>
            <w:shd w:val="clear" w:color="auto" w:fill="D9E2F3"/>
          </w:tcPr>
          <w:p w14:paraId="565812F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Proposed MTD</w:t>
            </w:r>
          </w:p>
        </w:tc>
        <w:tc>
          <w:tcPr>
            <w:shd w:val="clear" w:color="auto" w:fill="D9E2F3"/>
          </w:tcPr>
          <w:p w14:paraId="6FB671D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Recovery declaration</w:t>
            </w:r>
          </w:p>
        </w:tc>
      </w:tr>
      <w:tr w14:paraId="1757B92D">
        <w:trPr>
          <w:cantSplit/>
        </w:trPr>
        <w:tc>
          <w:p w14:paraId="515ABBE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F1 Assessment</w:t>
            </w:r>
          </w:p>
        </w:tc>
        <w:tc>
          <w:p w14:paraId="7D3D997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 hours for an approved usable service; technology target 4 hours if workaround is approved</w:t>
            </w:r>
          </w:p>
        </w:tc>
        <w:tc>
          <w:p w14:paraId="292A916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15 minutes for assessment submissions/results</w:t>
            </w:r>
          </w:p>
        </w:tc>
        <w:tc>
          <w:p w14:paraId="5234A27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6 hours, with 11:00 exam as a separate hard deadline</w:t>
            </w:r>
          </w:p>
        </w:tc>
        <w:tc>
          <w:p w14:paraId="702442B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Assessment Lead confirms candidate access, integrity, timing, accessibility and audit trail.</w:t>
            </w:r>
          </w:p>
        </w:tc>
      </w:tr>
      <w:tr w14:paraId="03193AB8">
        <w:trPr>
          <w:cantSplit/>
        </w:trPr>
        <w:tc>
          <w:p w14:paraId="6036DE8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F2 Finance</w:t>
            </w:r>
          </w:p>
        </w:tc>
        <w:tc>
          <w:p w14:paraId="738C74E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 hours</w:t>
            </w:r>
          </w:p>
        </w:tc>
        <w:tc>
          <w:p w14:paraId="2A5F2C8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15 minutes for transactions</w:t>
            </w:r>
          </w:p>
        </w:tc>
        <w:tc>
          <w:p w14:paraId="4E0A0DA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8 hours; 16:00 confirmation deadline is stricter operationally</w:t>
            </w:r>
          </w:p>
        </w:tc>
        <w:tc>
          <w:p w14:paraId="631955A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Finance Manager reconciles provider totals and duplicate/exception report.</w:t>
            </w:r>
          </w:p>
        </w:tc>
      </w:tr>
      <w:tr w14:paraId="6CECA840">
        <w:trPr>
          <w:cantSplit/>
        </w:trPr>
        <w:tc>
          <w:p w14:paraId="688E6FC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F3 Admissions</w:t>
            </w:r>
          </w:p>
        </w:tc>
        <w:tc>
          <w:p w14:paraId="572CE32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6 hours</w:t>
            </w:r>
          </w:p>
        </w:tc>
        <w:tc>
          <w:p w14:paraId="2072C94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 hour</w:t>
            </w:r>
          </w:p>
        </w:tc>
        <w:tc>
          <w:p w14:paraId="506F134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10 hours; 18:00 closure is stricter</w:t>
            </w:r>
          </w:p>
        </w:tc>
        <w:tc>
          <w:p w14:paraId="185093B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Admissions Manager confirms all time-stamped applications and changes are accounted for.</w:t>
            </w:r>
          </w:p>
        </w:tc>
      </w:tr>
      <w:tr w14:paraId="2DA1DD16">
        <w:trPr>
          <w:cantSplit/>
        </w:trPr>
        <w:tc>
          <w:p w14:paraId="458AA27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F4 Payroll</w:t>
            </w:r>
          </w:p>
        </w:tc>
        <w:tc>
          <w:p w14:paraId="2332F2A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8 hours</w:t>
            </w:r>
          </w:p>
        </w:tc>
        <w:tc>
          <w:p w14:paraId="2C34885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 hours</w:t>
            </w:r>
          </w:p>
        </w:tc>
        <w:tc>
          <w:p w14:paraId="3C4DA86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24 hours, with Day 1 12:00 bank deadline</w:t>
            </w:r>
          </w:p>
        </w:tc>
        <w:tc>
          <w:p w14:paraId="47158DB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HR Manager and Finance independently validate totals, changes and bank file.</w:t>
            </w:r>
          </w:p>
        </w:tc>
      </w:tr>
      <w:tr w14:paraId="3B7C0794">
        <w:trPr>
          <w:cantSplit/>
        </w:trPr>
        <w:tc>
          <w:p w14:paraId="604E2CF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F5 Records</w:t>
            </w:r>
          </w:p>
        </w:tc>
        <w:tc>
          <w:p w14:paraId="27CDB7E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12 hours</w:t>
            </w:r>
          </w:p>
        </w:tc>
        <w:tc>
          <w:p w14:paraId="2BFA775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24 hours</w:t>
            </w:r>
          </w:p>
        </w:tc>
        <w:tc>
          <w:p w14:paraId="14AFD53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48 hours per internal commitment</w:t>
            </w:r>
          </w:p>
        </w:tc>
        <w:tc>
          <w:p w14:paraId="2F9D918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Records Officer verifies sample files, permissions, integrity and request queue.</w:t>
            </w:r>
          </w:p>
        </w:tc>
      </w:tr>
    </w:tbl>
    <w:p w14:paraId="1B251F9E">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tightest targets reflect the exam and the possibility of losing or duplicating transactions. The RTOs are proposed objectives, not claims that the current warm drill can meet them. The RPO targets are also more demanding than the supplied checkpoints in some cases; the backup schedule must close those gaps.</w:t>
      </w:r>
    </w:p>
    <w:bookmarkEnd w:id="7"/>
    <w:p w14:paraId="19BD18AD">
      <w:pPr>
        <w:pStyle w:val="5"/>
        <w:spacing w:line="240" w:lineRule="auto"/>
        <w:rPr>
          <w:rFonts w:hint="default" w:ascii="Times New Roman Regular" w:hAnsi="Times New Roman Regular" w:cs="Times New Roman Regular"/>
          <w:color w:val="auto"/>
        </w:rPr>
      </w:pPr>
      <w:bookmarkStart w:id="8" w:name="checkpoint-age-and-data-loss-exposure"/>
      <w:r>
        <w:rPr>
          <w:rFonts w:hint="default" w:ascii="Times New Roman Regular" w:hAnsi="Times New Roman Regular" w:cs="Times New Roman Regular"/>
          <w:color w:val="auto"/>
        </w:rPr>
        <w:t>Checkpoint age and data-loss exposure</w:t>
      </w:r>
    </w:p>
    <w:p w14:paraId="44C4A4C9">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Table 4: Latest checkpoint age at 08:00 and data-loss gap</w:t>
      </w:r>
    </w:p>
    <w:tbl>
      <w:tblPr>
        <w:tblStyle w:val="31"/>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493"/>
        <w:gridCol w:w="2357"/>
        <w:gridCol w:w="817"/>
        <w:gridCol w:w="4961"/>
      </w:tblGrid>
      <w:tr w14:paraId="77B2F970">
        <w:trPr>
          <w:cantSplit/>
          <w:tblHeader/>
        </w:trPr>
        <w:tc>
          <w:tcPr>
            <w:shd w:val="clear" w:color="auto" w:fill="D9E2F3"/>
          </w:tcPr>
          <w:p w14:paraId="75B1F3F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Item</w:t>
            </w:r>
          </w:p>
        </w:tc>
        <w:tc>
          <w:tcPr>
            <w:shd w:val="clear" w:color="auto" w:fill="D9E2F3"/>
          </w:tcPr>
          <w:p w14:paraId="32D9A2A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Latest checkpoint at disruption</w:t>
            </w:r>
          </w:p>
        </w:tc>
        <w:tc>
          <w:tcPr>
            <w:shd w:val="clear" w:color="auto" w:fill="D9E2F3"/>
          </w:tcPr>
          <w:p w14:paraId="074961D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Age at 08:00</w:t>
            </w:r>
          </w:p>
        </w:tc>
        <w:tc>
          <w:tcPr>
            <w:shd w:val="clear" w:color="auto" w:fill="D9E2F3"/>
          </w:tcPr>
          <w:p w14:paraId="782339A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Affected service / gap</w:t>
            </w:r>
          </w:p>
        </w:tc>
      </w:tr>
      <w:tr w14:paraId="2BBB887D">
        <w:trPr>
          <w:cantSplit/>
        </w:trPr>
        <w:tc>
          <w:p w14:paraId="232C82F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DB01 B02 incremental chain</w:t>
            </w:r>
          </w:p>
        </w:tc>
        <w:tc>
          <w:p w14:paraId="0326922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07:00 Day 0, if B01 and every required incremental are valid</w:t>
            </w:r>
          </w:p>
        </w:tc>
        <w:tc>
          <w:p w14:paraId="160B566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 hour</w:t>
            </w:r>
          </w:p>
        </w:tc>
        <w:tc>
          <w:p w14:paraId="24E7C6E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F1–F4. Meets 15-minute RPO only if the chain is valid and the target is relaxed to 1 hour; it does not meet proposed 15-minute F1/F2 RPO.</w:t>
            </w:r>
          </w:p>
        </w:tc>
      </w:tr>
      <w:tr w14:paraId="56DA7257">
        <w:trPr>
          <w:cantSplit/>
        </w:trPr>
        <w:tc>
          <w:p w14:paraId="3950243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AUTH01 B03 snapshot</w:t>
            </w:r>
          </w:p>
        </w:tc>
        <w:tc>
          <w:p w14:paraId="65D438F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00:00 Day 0</w:t>
            </w:r>
          </w:p>
        </w:tc>
        <w:tc>
          <w:p w14:paraId="4BE5F88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8 hours</w:t>
            </w:r>
          </w:p>
        </w:tc>
        <w:tc>
          <w:p w14:paraId="3AB0F8B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All local functions. Exceeds 15-minute, 1-hour and 4-hour objectives; identity/configuration changes after midnight may need reconstruction.</w:t>
            </w:r>
          </w:p>
        </w:tc>
      </w:tr>
      <w:tr w14:paraId="2D5FE1E3">
        <w:trPr>
          <w:cantSplit/>
        </w:trPr>
        <w:tc>
          <w:p w14:paraId="169C692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FS01 B04 full backup</w:t>
            </w:r>
          </w:p>
        </w:tc>
        <w:tc>
          <w:p w14:paraId="242B0DA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23:00 Day −1</w:t>
            </w:r>
          </w:p>
        </w:tc>
        <w:tc>
          <w:p w14:paraId="2905647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9 hours</w:t>
            </w:r>
          </w:p>
        </w:tc>
        <w:tc>
          <w:p w14:paraId="25D6A5D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F5. Within proposed 24-hour RPO, but individual changes since the backup may be missing.</w:t>
            </w:r>
          </w:p>
        </w:tc>
      </w:tr>
    </w:tbl>
    <w:p w14:paraId="67E390F3">
      <w:pPr>
        <w:pStyle w:val="22"/>
        <w:keepNext w:val="0"/>
        <w:keepLines w:val="0"/>
        <w:widowControl/>
        <w:suppressLineNumbers w:val="0"/>
        <w:ind w:left="0" w:firstLine="0"/>
        <w:rPr>
          <w:i w:val="0"/>
          <w:iCs w:val="0"/>
          <w:caps w:val="0"/>
          <w:color w:val="000000"/>
          <w:spacing w:val="0"/>
          <w:sz w:val="21"/>
          <w:szCs w:val="21"/>
          <w:u w:val="none"/>
        </w:rPr>
      </w:pPr>
      <w:r>
        <w:rPr>
          <w:i w:val="0"/>
          <w:iCs w:val="0"/>
          <w:caps w:val="0"/>
          <w:color w:val="000000"/>
          <w:spacing w:val="0"/>
          <w:sz w:val="21"/>
          <w:szCs w:val="21"/>
          <w:u w:val="none"/>
        </w:rPr>
        <w:t>The recovery targets reflect the different consequences of service interruption. Assessment requires a usable service or an approved alternative before the 11:00 examination; finance must protect the 16:00 fee-confirmation deadline; and admissions must preserve applications received before the 18:00 closure. Payroll has a Day 1, 12:00 bank deadline, while records and certificate requests have a 48-hour service commitment. These deadlines explain why the functions have different proposed RTOs and MTDs.</w:t>
      </w:r>
    </w:p>
    <w:p w14:paraId="3D0684EB">
      <w:pPr>
        <w:pStyle w:val="22"/>
        <w:keepNext w:val="0"/>
        <w:keepLines w:val="0"/>
        <w:widowControl/>
        <w:suppressLineNumbers w:val="0"/>
        <w:ind w:left="0" w:firstLine="0"/>
        <w:rPr>
          <w:rFonts w:hint="default" w:ascii="Times New Roman Regular" w:hAnsi="Times New Roman Regular" w:cs="Times New Roman Regular"/>
          <w:color w:val="auto"/>
        </w:rPr>
      </w:pPr>
      <w:r>
        <w:rPr>
          <w:i w:val="0"/>
          <w:iCs w:val="0"/>
          <w:caps w:val="0"/>
          <w:color w:val="000000"/>
          <w:spacing w:val="0"/>
          <w:sz w:val="21"/>
          <w:szCs w:val="21"/>
          <w:u w:val="none"/>
        </w:rPr>
        <w:t>The supplied checkpoints do not meet every proposed RPO. DB01’s latest checkpoint is 07:00, one hour before the disruption, so it misses the 15-minute RPO for assessment and finance. The AUTH01 snapshot is eight hours old, but its age should be assessed against a separately defined identity/configuration recovery objective rather than automatically equated with every application’s data RPO. FS01’s 23:00 full backup is nine hours old, which is within the proposed 24-hour RPO for records, provided the backup is complete and can be restored successfully.</w:t>
      </w:r>
    </w:p>
    <w:bookmarkEnd w:id="8"/>
    <w:p w14:paraId="3D0F5780">
      <w:pPr>
        <w:pStyle w:val="5"/>
        <w:spacing w:line="240" w:lineRule="auto"/>
        <w:rPr>
          <w:rFonts w:hint="default" w:ascii="Times New Roman Regular" w:hAnsi="Times New Roman Regular" w:cs="Times New Roman Regular"/>
          <w:color w:val="auto"/>
        </w:rPr>
      </w:pPr>
      <w:bookmarkStart w:id="9" w:name="backup-schedule-and-assurance"/>
      <w:r>
        <w:rPr>
          <w:rFonts w:hint="default" w:ascii="Times New Roman Regular" w:hAnsi="Times New Roman Regular" w:cs="Times New Roman Regular"/>
          <w:color w:val="auto"/>
        </w:rPr>
        <w:t>Backup schedule and assurance</w:t>
      </w:r>
    </w:p>
    <w:p w14:paraId="28E720D7">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Adopt a 3-2-1 design: keep at least three copies of important data, on two different storage types or independently administered platforms, with at least one offsite copy. Maintain one additional offline or immutable copy that production administrators cannot alter. Proposed schedule: DB01 transaction-log backups every 15 minutes, incrementals hourly, and a full backup nightly; AUTH01 configuration/state backup every four hours and after approved changes; FS01 incremental backups hourly and a full backup nightly. Encrypt data in transit and at rest, retain daily copies for 35 days, weekly copies for 12 weeks, and monthly copies for 12 months, subject to approved privacy and retention requirements.</w:t>
      </w:r>
    </w:p>
    <w:bookmarkEnd w:id="9"/>
    <w:p w14:paraId="41FF7591">
      <w:pPr>
        <w:pStyle w:val="5"/>
        <w:spacing w:line="240" w:lineRule="auto"/>
        <w:rPr>
          <w:rFonts w:hint="default" w:ascii="Times New Roman Regular" w:hAnsi="Times New Roman Regular" w:cs="Times New Roman Regular"/>
          <w:color w:val="auto"/>
        </w:rPr>
      </w:pPr>
      <w:bookmarkStart w:id="10" w:name="db01-restore-procedure"/>
      <w:r>
        <w:rPr>
          <w:rFonts w:hint="default" w:ascii="Times New Roman Regular" w:hAnsi="Times New Roman Regular" w:cs="Times New Roman Regular"/>
          <w:color w:val="auto"/>
        </w:rPr>
        <w:t>DB01 restore procedure</w:t>
      </w:r>
    </w:p>
    <w:p w14:paraId="0CE7251A">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For the DB01 restore, recover B01 first, then apply every verified incremental in the required chain in sequence through B02 at 07:00. Validate catalogue manifests, hashes, timestamps, database consistency, encryption-key availability and application-level records before business use. If a required increment fails, stop, quarantine the suspect copy, record the incident and restore from the latest verified earlier full/incremental chain; quantify the larger RPO breach and obtain business-owner risk acceptance. Separate backup administration from production identity using dedicated least-privilege accounts, MFA, dual approval for deletion, immutable retention locks and monitored access. The provider’s access-independence controls are undocumented and therefore remain unverified until independently tested.</w:t>
      </w:r>
    </w:p>
    <w:p w14:paraId="175C92CB">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Offsite location alone does not prove recoverability: credentials may be shared, copies may be corrupted, encryption keys may be unavailable, or a restore may depend on inaccessible systems. Quarterly restore tests should include database consistency, representative record counts, file opening, access-control checks and business-user sign-off. Keep evidence of restore duration, hashes, errors and corrective actions.</w:t>
      </w:r>
    </w:p>
    <w:bookmarkEnd w:id="6"/>
    <w:bookmarkEnd w:id="10"/>
    <w:p w14:paraId="56AE41FC">
      <w:pPr>
        <w:pStyle w:val="4"/>
        <w:spacing w:line="240" w:lineRule="auto"/>
        <w:rPr>
          <w:rFonts w:hint="default" w:ascii="Times New Roman Regular" w:hAnsi="Times New Roman Regular" w:cs="Times New Roman Regular"/>
          <w:color w:val="auto"/>
        </w:rPr>
      </w:pPr>
      <w:bookmarkStart w:id="11" w:name="task-3-strategy-comparison-and-budget"/>
      <w:r>
        <w:rPr>
          <w:rFonts w:hint="default" w:ascii="Times New Roman Regular" w:hAnsi="Times New Roman Regular" w:cs="Times New Roman Regular"/>
          <w:color w:val="auto"/>
        </w:rPr>
        <w:t>Task 3 – Strategy comparison and budget</w:t>
      </w:r>
    </w:p>
    <w:p w14:paraId="1FC58CEB">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Table 5: Recovery strategy packages and annual cost (NGN)</w:t>
      </w:r>
    </w:p>
    <w:tbl>
      <w:tblPr>
        <w:tblStyle w:val="31"/>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821"/>
        <w:gridCol w:w="925"/>
        <w:gridCol w:w="1175"/>
        <w:gridCol w:w="1227"/>
        <w:gridCol w:w="972"/>
        <w:gridCol w:w="4508"/>
      </w:tblGrid>
      <w:tr w14:paraId="003E4D72">
        <w:trPr>
          <w:cantSplit/>
          <w:tblHeader/>
        </w:trPr>
        <w:tc>
          <w:tcPr>
            <w:shd w:val="clear" w:color="auto" w:fill="D9E2F3"/>
          </w:tcPr>
          <w:p w14:paraId="5F8AA3F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Package</w:t>
            </w:r>
          </w:p>
        </w:tc>
        <w:tc>
          <w:tcPr>
            <w:shd w:val="clear" w:color="auto" w:fill="D9E2F3"/>
          </w:tcPr>
          <w:p w14:paraId="744DA95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Base/year</w:t>
            </w:r>
          </w:p>
        </w:tc>
        <w:tc>
          <w:tcPr>
            <w:shd w:val="clear" w:color="auto" w:fill="D9E2F3"/>
          </w:tcPr>
          <w:p w14:paraId="03BB9D3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Protected backups</w:t>
            </w:r>
          </w:p>
        </w:tc>
        <w:tc>
          <w:tcPr>
            <w:shd w:val="clear" w:color="auto" w:fill="D9E2F3"/>
          </w:tcPr>
          <w:p w14:paraId="70A4D33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Training/tests</w:t>
            </w:r>
          </w:p>
        </w:tc>
        <w:tc>
          <w:tcPr>
            <w:shd w:val="clear" w:color="auto" w:fill="D9E2F3"/>
          </w:tcPr>
          <w:p w14:paraId="3222966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Total/year</w:t>
            </w:r>
          </w:p>
        </w:tc>
        <w:tc>
          <w:tcPr>
            <w:shd w:val="clear" w:color="auto" w:fill="D9E2F3"/>
          </w:tcPr>
          <w:p w14:paraId="7E45F92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Assessment</w:t>
            </w:r>
          </w:p>
        </w:tc>
      </w:tr>
      <w:tr w14:paraId="32F0FE39">
        <w:trPr>
          <w:cantSplit/>
        </w:trPr>
        <w:tc>
          <w:p w14:paraId="6ECBD21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Cold</w:t>
            </w:r>
          </w:p>
        </w:tc>
        <w:tc>
          <w:p w14:paraId="74DCC16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600,000</w:t>
            </w:r>
          </w:p>
        </w:tc>
        <w:tc>
          <w:p w14:paraId="6936AD7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400,000</w:t>
            </w:r>
          </w:p>
        </w:tc>
        <w:tc>
          <w:p w14:paraId="182AB95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200,000</w:t>
            </w:r>
          </w:p>
        </w:tc>
        <w:tc>
          <w:p w14:paraId="32FCEE5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1,200,000</w:t>
            </w:r>
          </w:p>
        </w:tc>
        <w:tc>
          <w:p w14:paraId="3CB72BC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Within limit; 24–48-hour service and up to 24-hour loss are too slow for exam, fees and admissions.</w:t>
            </w:r>
          </w:p>
        </w:tc>
      </w:tr>
      <w:tr w14:paraId="3221DB22">
        <w:trPr>
          <w:cantSplit/>
        </w:trPr>
        <w:tc>
          <w:p w14:paraId="134A126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Warm</w:t>
            </w:r>
          </w:p>
        </w:tc>
        <w:tc>
          <w:p w14:paraId="6ACDDB4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1,500,000</w:t>
            </w:r>
          </w:p>
        </w:tc>
        <w:tc>
          <w:p w14:paraId="715426C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400,000</w:t>
            </w:r>
          </w:p>
        </w:tc>
        <w:tc>
          <w:p w14:paraId="77D8744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200,000</w:t>
            </w:r>
          </w:p>
        </w:tc>
        <w:tc>
          <w:p w14:paraId="7C72D7C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2,100,000</w:t>
            </w:r>
          </w:p>
        </w:tc>
        <w:tc>
          <w:p w14:paraId="0549DBB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Within limit; estimated 3–5-hour first service and 1–6-hour data loss miss the tightest targets; baseline drill assessment completes at 11:45.</w:t>
            </w:r>
          </w:p>
        </w:tc>
      </w:tr>
      <w:tr w14:paraId="37997CFB">
        <w:trPr>
          <w:cantSplit/>
        </w:trPr>
        <w:tc>
          <w:p w14:paraId="4996CA7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Hot</w:t>
            </w:r>
          </w:p>
        </w:tc>
        <w:tc>
          <w:p w14:paraId="1D2D8C1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2,400,000</w:t>
            </w:r>
          </w:p>
        </w:tc>
        <w:tc>
          <w:p w14:paraId="29D251D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400,000</w:t>
            </w:r>
          </w:p>
        </w:tc>
        <w:tc>
          <w:p w14:paraId="4B7D755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200,000</w:t>
            </w:r>
          </w:p>
        </w:tc>
        <w:tc>
          <w:p w14:paraId="7A3613B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3,000,000</w:t>
            </w:r>
          </w:p>
        </w:tc>
        <w:tc>
          <w:p w14:paraId="0E8D17F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Exactly at limit; about 1-hour first critical service and up to 15-minute loss are closest to the targets, but remain estimates requiring proof.</w:t>
            </w:r>
          </w:p>
        </w:tc>
      </w:tr>
    </w:tbl>
    <w:p w14:paraId="2D72FB88">
      <w:pPr>
        <w:pStyle w:val="22"/>
        <w:keepNext w:val="0"/>
        <w:keepLines w:val="0"/>
        <w:widowControl/>
        <w:suppressLineNumbers w:val="0"/>
        <w:ind w:left="0" w:firstLine="0"/>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i w:val="0"/>
          <w:iCs w:val="0"/>
          <w:caps w:val="0"/>
          <w:color w:val="000000"/>
          <w:spacing w:val="0"/>
          <w:sz w:val="21"/>
          <w:szCs w:val="21"/>
          <w:u w:val="none"/>
        </w:rPr>
        <w:t>I recommend the Hot recovery package only if Northbridge can verify that the supplier's recovery times and data-loss estimates are achievable. Before approval, the institute should obtain evidence of successful recovery tests, independently protected backups, separate backup administration, supplier recovery commitments and clear escalation procedures. The package costs NGN 3,000,000 annually, which uses the entire budget and leaves no contingency. Management should therefore confirm that all costs are included and identify an approved response if unexpected costs arise. If the Hot package cannot meet these conditions, the Warm package may be considered as a fallback, but management must formally accept its recovery limitations and strengthen manual continuity arrangements.</w:t>
      </w:r>
    </w:p>
    <w:p w14:paraId="3DAF43C0">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21"/>
          <w:szCs w:val="21"/>
        </w:rPr>
        <w:t>The Hot package’s residual risks include supplier outage, network or ide</w:t>
      </w:r>
      <w:r>
        <w:rPr>
          <w:rFonts w:hint="default" w:ascii="Times New Roman Regular" w:hAnsi="Times New Roman Regular" w:cs="Times New Roman Regular"/>
          <w:color w:val="auto"/>
        </w:rPr>
        <w:t>ntity dependencies, invalid backup chains, credential compromise, insufficient staff and workstations, inaccessible premises, and costs exceeding the planning limit. The Executive Director or delegated budget owner should accept documented residual risks after the IT lead, business owners and procurement review the evidence. If Hot cannot be validated or the budget cannot be approved, Warm is the affordable fallback, but management must explicitly accept missed RTO/RPO targets and fund stronger manual continuity.</w:t>
      </w:r>
    </w:p>
    <w:p w14:paraId="13BE9D1D">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NGN 1.2 million eight-hour estimate and NGN 3.36 million 24-hour estimate help illustrate potential exposure: the Hot annual cost is 2.5 times the eight-hour estimate and below the 24-hour estimate. This is not an ROI calculation. One outage does not establish annual outage frequency, probability, avoided loss, indirect costs, insurance effects or lifecycle cost. Before approval, obtain supplier test reports, uptime and recovery evidence, contract exclusions, recovery-location details, backup independence proof, realistic incident scenarios, recurring-cost confirmation and an annualised risk assessment.</w:t>
      </w:r>
    </w:p>
    <w:bookmarkEnd w:id="11"/>
    <w:p w14:paraId="718D44A8">
      <w:pPr>
        <w:pStyle w:val="4"/>
        <w:spacing w:line="240" w:lineRule="auto"/>
        <w:rPr>
          <w:rFonts w:hint="default" w:ascii="Times New Roman Regular" w:hAnsi="Times New Roman Regular" w:cs="Times New Roman Regular"/>
          <w:color w:val="auto"/>
        </w:rPr>
      </w:pPr>
      <w:bookmarkStart w:id="12" w:name="Xb8e7ffb6a23901c887f07748047c05834240f2d"/>
      <w:r>
        <w:rPr>
          <w:rFonts w:hint="default" w:ascii="Times New Roman Regular" w:hAnsi="Times New Roman Regular" w:cs="Times New Roman Regular"/>
          <w:color w:val="auto"/>
        </w:rPr>
        <w:t>Task 4 – Coordinated continuity and disaster recovery plan</w:t>
      </w:r>
    </w:p>
    <w:p w14:paraId="46D746F9">
      <w:pPr>
        <w:pStyle w:val="5"/>
        <w:spacing w:line="240" w:lineRule="auto"/>
        <w:rPr>
          <w:rFonts w:hint="default" w:ascii="Times New Roman Regular" w:hAnsi="Times New Roman Regular" w:cs="Times New Roman Regular"/>
          <w:color w:val="auto"/>
        </w:rPr>
      </w:pPr>
      <w:bookmarkStart w:id="13" w:name="activation-and-command"/>
      <w:r>
        <w:rPr>
          <w:rFonts w:hint="default" w:ascii="Times New Roman Regular" w:hAnsi="Times New Roman Regular" w:cs="Times New Roman Regular"/>
          <w:color w:val="auto"/>
        </w:rPr>
        <w:t>Activation and command</w:t>
      </w:r>
    </w:p>
    <w:p w14:paraId="045A48EC">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Activate the plan when the primary site or critical local systems are unavailable for more than 30 minutes, a deadline is threatened, or facilities declares the site unsafe. The Executive Director is the authorised decision maker; the Operations Director is deputy. The Incident Coordinator opens a timestamped incident log, establishes a mobile/Microsoft 365 coordination channel, assigns workstream leads and issues situation reports every 30 minutes during the first four hours, then hourly. Use phone/SMS and a pre-agreed staff contact tree if email or mobile data fails. Do not send sensitive learner data through public messaging groups.</w:t>
      </w:r>
    </w:p>
    <w:p w14:paraId="34E38F8B">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continuity team protects minimum business services and coordinates learner/staff communications. The technical recovery team restores infrastructure and applications. Facilities confirms site safety, power, water and access. Incident response investigates indicators of compromise, suspicious administrator access, unexplained data changes, ransomware, unauthorised disclosure or failed integrity checks. Physical disruption alone does not prove a cyberattack, but preserving logs and evidence from the outset avoids losing evidence if compromise is later suspected.</w:t>
      </w:r>
    </w:p>
    <w:bookmarkEnd w:id="13"/>
    <w:p w14:paraId="6C86A96A">
      <w:pPr>
        <w:pStyle w:val="5"/>
        <w:spacing w:line="240" w:lineRule="auto"/>
        <w:rPr>
          <w:rFonts w:hint="default" w:ascii="Times New Roman Regular" w:hAnsi="Times New Roman Regular" w:cs="Times New Roman Regular"/>
          <w:color w:val="auto"/>
        </w:rPr>
      </w:pPr>
      <w:bookmarkStart w:id="14" w:name="raci-matrix"/>
      <w:r>
        <w:rPr>
          <w:rFonts w:hint="default" w:ascii="Times New Roman Regular" w:hAnsi="Times New Roman Regular" w:cs="Times New Roman Regular"/>
          <w:color w:val="auto"/>
        </w:rPr>
        <w:t>RACI matrix</w:t>
      </w:r>
    </w:p>
    <w:p w14:paraId="3B6353A0">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Table 6: RACI matrix for continuity activities</w:t>
      </w:r>
    </w:p>
    <w:tbl>
      <w:tblPr>
        <w:tblStyle w:val="31"/>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363"/>
        <w:gridCol w:w="1578"/>
        <w:gridCol w:w="1946"/>
        <w:gridCol w:w="872"/>
        <w:gridCol w:w="1668"/>
        <w:gridCol w:w="1201"/>
      </w:tblGrid>
      <w:tr w14:paraId="3D41C0ED">
        <w:trPr>
          <w:cantSplit/>
          <w:tblHeader/>
        </w:trPr>
        <w:tc>
          <w:tcPr>
            <w:shd w:val="clear" w:color="auto" w:fill="D9E2F3"/>
          </w:tcPr>
          <w:p w14:paraId="41D2075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Activity</w:t>
            </w:r>
          </w:p>
        </w:tc>
        <w:tc>
          <w:tcPr>
            <w:shd w:val="clear" w:color="auto" w:fill="D9E2F3"/>
          </w:tcPr>
          <w:p w14:paraId="08E0A26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Executive Director</w:t>
            </w:r>
          </w:p>
        </w:tc>
        <w:tc>
          <w:tcPr>
            <w:shd w:val="clear" w:color="auto" w:fill="D9E2F3"/>
          </w:tcPr>
          <w:p w14:paraId="707DAD6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Continuity Coordinator</w:t>
            </w:r>
          </w:p>
        </w:tc>
        <w:tc>
          <w:tcPr>
            <w:shd w:val="clear" w:color="auto" w:fill="D9E2F3"/>
          </w:tcPr>
          <w:p w14:paraId="39F57C0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DR Lead</w:t>
            </w:r>
          </w:p>
        </w:tc>
        <w:tc>
          <w:tcPr>
            <w:shd w:val="clear" w:color="auto" w:fill="D9E2F3"/>
          </w:tcPr>
          <w:p w14:paraId="44842A9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Business owner</w:t>
            </w:r>
          </w:p>
        </w:tc>
        <w:tc>
          <w:tcPr>
            <w:shd w:val="clear" w:color="auto" w:fill="D9E2F3"/>
          </w:tcPr>
          <w:p w14:paraId="58193F1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Facilities / IR</w:t>
            </w:r>
          </w:p>
        </w:tc>
      </w:tr>
      <w:tr w14:paraId="575CCB67">
        <w:trPr>
          <w:cantSplit/>
        </w:trPr>
        <w:tc>
          <w:p w14:paraId="30A80C8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Declare/stand down incident</w:t>
            </w:r>
          </w:p>
        </w:tc>
        <w:tc>
          <w:p w14:paraId="761A81B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w:t>
            </w:r>
          </w:p>
        </w:tc>
        <w:tc>
          <w:p w14:paraId="3EDBB1E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w:t>
            </w:r>
          </w:p>
        </w:tc>
        <w:tc>
          <w:p w14:paraId="709FB97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w:t>
            </w:r>
          </w:p>
        </w:tc>
        <w:tc>
          <w:p w14:paraId="2C2585F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w:t>
            </w:r>
          </w:p>
        </w:tc>
        <w:tc>
          <w:p w14:paraId="03BC81A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w:t>
            </w:r>
          </w:p>
        </w:tc>
      </w:tr>
      <w:tr w14:paraId="535A38ED">
        <w:trPr>
          <w:cantSplit/>
        </w:trPr>
        <w:tc>
          <w:p w14:paraId="096CE92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Temporary assessment delivery</w:t>
            </w:r>
          </w:p>
        </w:tc>
        <w:tc>
          <w:p w14:paraId="3B5929C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I</w:t>
            </w:r>
          </w:p>
        </w:tc>
        <w:tc>
          <w:p w14:paraId="7144297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A/R</w:t>
            </w:r>
          </w:p>
        </w:tc>
        <w:tc>
          <w:p w14:paraId="0997982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w:t>
            </w:r>
          </w:p>
        </w:tc>
        <w:tc>
          <w:p w14:paraId="64D90F7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 (Assessment Lead)</w:t>
            </w:r>
          </w:p>
        </w:tc>
        <w:tc>
          <w:p w14:paraId="138EC79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w:t>
            </w:r>
          </w:p>
        </w:tc>
      </w:tr>
      <w:tr w14:paraId="069E58A1">
        <w:trPr>
          <w:cantSplit/>
        </w:trPr>
        <w:tc>
          <w:p w14:paraId="7C66167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Backup integrity and selection</w:t>
            </w:r>
          </w:p>
        </w:tc>
        <w:tc>
          <w:p w14:paraId="785D45C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I</w:t>
            </w:r>
          </w:p>
        </w:tc>
        <w:tc>
          <w:p w14:paraId="7046970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w:t>
            </w:r>
          </w:p>
        </w:tc>
        <w:tc>
          <w:p w14:paraId="1BC169F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A/R</w:t>
            </w:r>
          </w:p>
        </w:tc>
        <w:tc>
          <w:p w14:paraId="0420425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w:t>
            </w:r>
          </w:p>
        </w:tc>
        <w:tc>
          <w:p w14:paraId="34557B1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IR: C</w:t>
            </w:r>
          </w:p>
        </w:tc>
      </w:tr>
      <w:tr w14:paraId="5E28B7A0">
        <w:trPr>
          <w:cantSplit/>
        </w:trPr>
        <w:tc>
          <w:p w14:paraId="1E6F959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Restore systems and validate</w:t>
            </w:r>
          </w:p>
        </w:tc>
        <w:tc>
          <w:p w14:paraId="6B94A78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I</w:t>
            </w:r>
          </w:p>
        </w:tc>
        <w:tc>
          <w:p w14:paraId="316D781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w:t>
            </w:r>
          </w:p>
        </w:tc>
        <w:tc>
          <w:p w14:paraId="23C7C16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A/R</w:t>
            </w:r>
          </w:p>
        </w:tc>
        <w:tc>
          <w:p w14:paraId="476F00C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 for acceptance</w:t>
            </w:r>
          </w:p>
        </w:tc>
        <w:tc>
          <w:p w14:paraId="0E0F30E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IR: C</w:t>
            </w:r>
          </w:p>
        </w:tc>
      </w:tr>
      <w:tr w14:paraId="6E5509ED">
        <w:trPr>
          <w:cantSplit/>
        </w:trPr>
        <w:tc>
          <w:p w14:paraId="02658F8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Stakeholder communications</w:t>
            </w:r>
          </w:p>
        </w:tc>
        <w:tc>
          <w:p w14:paraId="13C454C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I</w:t>
            </w:r>
          </w:p>
        </w:tc>
        <w:tc>
          <w:p w14:paraId="2C09013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A/R</w:t>
            </w:r>
          </w:p>
        </w:tc>
        <w:tc>
          <w:p w14:paraId="00E826F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w:t>
            </w:r>
          </w:p>
        </w:tc>
        <w:tc>
          <w:p w14:paraId="5633C20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w:t>
            </w:r>
          </w:p>
        </w:tc>
        <w:tc>
          <w:p w14:paraId="01B92E8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Facilities: C</w:t>
            </w:r>
          </w:p>
        </w:tc>
      </w:tr>
      <w:tr w14:paraId="17BEDB43">
        <w:trPr>
          <w:cantSplit/>
        </w:trPr>
        <w:tc>
          <w:p w14:paraId="2379D84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Return to primary site</w:t>
            </w:r>
          </w:p>
        </w:tc>
        <w:tc>
          <w:p w14:paraId="5839E14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w:t>
            </w:r>
          </w:p>
        </w:tc>
        <w:tc>
          <w:p w14:paraId="1A0EDDA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w:t>
            </w:r>
          </w:p>
        </w:tc>
        <w:tc>
          <w:p w14:paraId="13D9CC3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w:t>
            </w:r>
          </w:p>
        </w:tc>
        <w:tc>
          <w:p w14:paraId="65F01F7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w:t>
            </w:r>
          </w:p>
        </w:tc>
        <w:tc>
          <w:p w14:paraId="02C99B0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Facilities: R/C</w:t>
            </w:r>
          </w:p>
        </w:tc>
      </w:tr>
    </w:tbl>
    <w:p w14:paraId="7B4C18AE">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 = accountable; R = responsible; C = consulted; I = informed. Each row has one accountable role; business owners remain responsible for accepting their own service. The DR Lead coordinates the two technicians and does not approve their own business data as correct.</w:t>
      </w:r>
    </w:p>
    <w:bookmarkEnd w:id="14"/>
    <w:p w14:paraId="21756468">
      <w:pPr>
        <w:pStyle w:val="5"/>
        <w:spacing w:line="240" w:lineRule="auto"/>
        <w:rPr>
          <w:rFonts w:hint="default" w:ascii="Times New Roman Regular" w:hAnsi="Times New Roman Regular" w:cs="Times New Roman Regular"/>
          <w:color w:val="auto"/>
        </w:rPr>
      </w:pPr>
      <w:bookmarkStart w:id="15" w:name="Xeffa18d66660c5ee5ed9834ba0da9a51a91e599"/>
      <w:r>
        <w:rPr>
          <w:rFonts w:hint="default" w:ascii="Times New Roman Regular" w:hAnsi="Times New Roman Regular" w:cs="Times New Roman Regular"/>
          <w:color w:val="auto"/>
        </w:rPr>
        <w:t>Temporary service procedures during the 72-hour outage</w:t>
      </w:r>
    </w:p>
    <w:p w14:paraId="491C2333">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F1: Before 11:00, the Assessment Lead must decide whether the approved assessment platform is safe and fair to use. Reserve the 25 alternate-site workstations for the 40 candidates who require centre devices; use two supervised sittings or an approved accessible alternative, only if examination rules and timing permit. The 80 own-device candidates may connect remotely only after identity, capacity, privacy, device compatibility and assessment-integrity checks. If fairness or security cannot be assured, formally postpone the exam, notify all candidates consistently and record the one-off rescheduling trigger. Do not squeeze 40 candidates into 25 seats or silently give some candidates extra time.</w:t>
      </w:r>
    </w:p>
    <w:p w14:paraId="21583312">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F2: Finance records provider transactions in a restricted ledger with timestamp, unique payment reference, amount, payer identifier and reviewer. Issue a provisional acknowledgement, not a claim that the local wallet has updated. At restoration, compare provider settlement data with the ledger and DB01, investigate unmatched items and require a second-person sign-off. F3: Admissions staff accept secure time-stamped applications, issue acknowledgement IDs, store forms in a restricted location and record changes without overwriting original submissions. Enter them into REG01 only after duplicate and completeness checks.</w:t>
      </w:r>
    </w:p>
    <w:p w14:paraId="382D0C4F">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F4: HR freezes unverified payroll changes. Two authorised staff compare the last approved payroll, exceptions and bank instructions; submit only validated instructions by the Day 1 12:00 deadline. F5: Records staff log requests and due times, provide only verified records from an approved source, and defer non-urgent requests while maintaining the 48-hour service commitment where possible. Across all functions, use minimum necessary personal data, role-based access, locked storage, secure disposal and documented handover.</w:t>
      </w:r>
    </w:p>
    <w:p w14:paraId="2B8A80F0">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Minimum staffing is the two DR technicians, a continuity coordinator, Assessment Lead and invigilators, Finance representative, Admissions representative, HR/payroll representative, Records Officer, communications lead and facilities contact. Suppliers must provide alternate-site connectivity/workstations, power, payment transaction exports and recovery support. Accessibility accommodations, spare devices, chargers, privacy screens and a secure room should be confirmed before delivery.</w:t>
      </w:r>
    </w:p>
    <w:bookmarkEnd w:id="15"/>
    <w:p w14:paraId="1CBF97BC">
      <w:pPr>
        <w:pStyle w:val="5"/>
        <w:spacing w:line="240" w:lineRule="auto"/>
        <w:rPr>
          <w:rFonts w:hint="default" w:ascii="Times New Roman Regular" w:hAnsi="Times New Roman Regular" w:cs="Times New Roman Regular"/>
          <w:color w:val="auto"/>
        </w:rPr>
      </w:pPr>
      <w:bookmarkStart w:id="16" w:name="dr-runbook"/>
      <w:r>
        <w:rPr>
          <w:rFonts w:hint="default" w:ascii="Times New Roman Regular" w:hAnsi="Times New Roman Regular" w:cs="Times New Roman Regular"/>
          <w:color w:val="auto"/>
        </w:rPr>
        <w:t>DR runbook</w:t>
      </w:r>
    </w:p>
    <w:p w14:paraId="041E1D8C">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Table 7: Disaster recovery runbook</w:t>
      </w:r>
    </w:p>
    <w:tbl>
      <w:tblPr>
        <w:tblStyle w:val="31"/>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672"/>
        <w:gridCol w:w="3960"/>
        <w:gridCol w:w="3996"/>
      </w:tblGrid>
      <w:tr w14:paraId="29181BD6">
        <w:trPr>
          <w:cantSplit/>
          <w:tblHeader/>
        </w:trPr>
        <w:tc>
          <w:tcPr>
            <w:shd w:val="clear" w:color="auto" w:fill="D9E2F3"/>
          </w:tcPr>
          <w:p w14:paraId="6698CCD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Order / owner</w:t>
            </w:r>
          </w:p>
        </w:tc>
        <w:tc>
          <w:tcPr>
            <w:shd w:val="clear" w:color="auto" w:fill="D9E2F3"/>
          </w:tcPr>
          <w:p w14:paraId="2ADD2CF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Action and prerequisite</w:t>
            </w:r>
          </w:p>
        </w:tc>
        <w:tc>
          <w:tcPr>
            <w:shd w:val="clear" w:color="auto" w:fill="D9E2F3"/>
          </w:tcPr>
          <w:p w14:paraId="3453151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Completion evidence / if failed</w:t>
            </w:r>
          </w:p>
        </w:tc>
      </w:tr>
      <w:tr w14:paraId="222D0577">
        <w:trPr>
          <w:cantSplit/>
        </w:trPr>
        <w:tc>
          <w:p w14:paraId="52141E8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 – Incident Coordinator</w:t>
            </w:r>
          </w:p>
        </w:tc>
        <w:tc>
          <w:p w14:paraId="79B24E8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Confirm site closure, personnel safety, incident time, decision authority and alternate-site access.</w:t>
            </w:r>
          </w:p>
        </w:tc>
        <w:tc>
          <w:p w14:paraId="4F563A2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Incident ticket and contact log. If command channel fails, switch to phone/SMS tree.</w:t>
            </w:r>
          </w:p>
        </w:tc>
      </w:tr>
      <w:tr w14:paraId="019C9CE9">
        <w:trPr>
          <w:cantSplit/>
        </w:trPr>
        <w:tc>
          <w:p w14:paraId="664187A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 – DR Lead / Technician 1</w:t>
            </w:r>
          </w:p>
        </w:tc>
        <w:tc>
          <w:p w14:paraId="1684795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Bring up recovery network; prerequisite: approved alternate facility and power.</w:t>
            </w:r>
          </w:p>
        </w:tc>
        <w:tc>
          <w:p w14:paraId="255DAA1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Connectivity tests and network log. If failed, use supplier escalation and approved mobile backup.</w:t>
            </w:r>
          </w:p>
        </w:tc>
      </w:tr>
      <w:tr w14:paraId="5260CE26">
        <w:trPr>
          <w:cantSplit/>
        </w:trPr>
        <w:tc>
          <w:p w14:paraId="547F251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3 – DR Lead / Technician 1</w:t>
            </w:r>
          </w:p>
        </w:tc>
        <w:tc>
          <w:p w14:paraId="308F3BD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Restore AUTH01 after network; verify time, directory health, privileged accounts and configuration.</w:t>
            </w:r>
          </w:p>
        </w:tc>
        <w:tc>
          <w:p w14:paraId="305C608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Authentication test with test account. If mismatch/suspicious access, isolate and involve IR.</w:t>
            </w:r>
          </w:p>
        </w:tc>
      </w:tr>
      <w:tr w14:paraId="6325331C">
        <w:trPr>
          <w:cantSplit/>
        </w:trPr>
        <w:tc>
          <w:p w14:paraId="24EA447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 – Technician 2 with DR Lead</w:t>
            </w:r>
          </w:p>
        </w:tc>
        <w:tc>
          <w:p w14:paraId="7855E5F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Perform security and backup checks after AUTH01; confirm manifests, hashes, chain, encryption keys and access logs.</w:t>
            </w:r>
          </w:p>
        </w:tc>
        <w:tc>
          <w:p w14:paraId="427AE71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Signed validation checklist. If a chain fails, quarantine it and select latest verified recovery point.</w:t>
            </w:r>
          </w:p>
        </w:tc>
      </w:tr>
      <w:tr w14:paraId="5EC22BC3">
        <w:trPr>
          <w:cantSplit/>
        </w:trPr>
        <w:tc>
          <w:p w14:paraId="3BE7789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5 – Technician 1</w:t>
            </w:r>
          </w:p>
        </w:tc>
        <w:tc>
          <w:p w14:paraId="0C706BF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Restore DB01 after security checks: B01 then every required increment through B02.</w:t>
            </w:r>
          </w:p>
        </w:tc>
        <w:tc>
          <w:p w14:paraId="2979F68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DB consistency, record counts, timestamps and transaction sample. If failed, stop; restore earlier verified chain and record RPO breach.</w:t>
            </w:r>
          </w:p>
        </w:tc>
      </w:tr>
      <w:tr w14:paraId="758B08C3">
        <w:trPr>
          <w:cantSplit/>
        </w:trPr>
        <w:tc>
          <w:p w14:paraId="5EB679F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6 – Technicians in parallel where available</w:t>
            </w:r>
          </w:p>
        </w:tc>
        <w:tc>
          <w:p w14:paraId="5843466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Restore LMS01, FIN01, REG01 and HR01 after DB01; restore FS01 after AUTH01 and security checks.</w:t>
            </w:r>
          </w:p>
        </w:tc>
        <w:tc>
          <w:p w14:paraId="677AA4F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Application login, representative records and permissions. If failed, keep that service in manual mode and escalate.</w:t>
            </w:r>
          </w:p>
        </w:tc>
      </w:tr>
      <w:tr w14:paraId="6135F5B0">
        <w:trPr>
          <w:cantSplit/>
        </w:trPr>
        <w:tc>
          <w:p w14:paraId="053449A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7 – Business owners / DR Lead</w:t>
            </w:r>
          </w:p>
        </w:tc>
        <w:tc>
          <w:p w14:paraId="4FD9843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Business acceptance: assessment integrity, fee reconciliation, admissions completeness, payroll accuracy and file access.</w:t>
            </w:r>
          </w:p>
        </w:tc>
        <w:tc>
          <w:p w14:paraId="1933405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Written owner sign-off; no service declared recovered on server status alone.</w:t>
            </w:r>
          </w:p>
        </w:tc>
      </w:tr>
      <w:tr w14:paraId="6E3AC8EE">
        <w:trPr>
          <w:cantSplit/>
        </w:trPr>
        <w:tc>
          <w:p w14:paraId="0703476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8 – Incident Coordinator / Facilities</w:t>
            </w:r>
          </w:p>
        </w:tc>
        <w:tc>
          <w:p w14:paraId="4A76025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Controlled return only after facilities clearance, clean power/network, secure access, reconciled temporary records and approved change window.</w:t>
            </w:r>
          </w:p>
        </w:tc>
        <w:tc>
          <w:p w14:paraId="0DBA234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Rollback plan, final validation, transfer log and Executive Director sign-off. If unstable, remain at alternate site.</w:t>
            </w:r>
          </w:p>
        </w:tc>
      </w:tr>
      <w:bookmarkEnd w:id="16"/>
    </w:tbl>
    <w:p w14:paraId="00CDC645">
      <w:pPr>
        <w:pStyle w:val="5"/>
        <w:spacing w:line="240" w:lineRule="auto"/>
        <w:rPr>
          <w:rFonts w:hint="default" w:ascii="Times New Roman Regular" w:hAnsi="Times New Roman Regular" w:cs="Times New Roman Regular"/>
          <w:color w:val="auto"/>
        </w:rPr>
      </w:pPr>
      <w:bookmarkStart w:id="17" w:name="stakeholder-communication-matrix"/>
      <w:r>
        <w:rPr>
          <w:rFonts w:hint="default" w:ascii="Times New Roman Regular" w:hAnsi="Times New Roman Regular" w:cs="Times New Roman Regular"/>
          <w:color w:val="auto"/>
        </w:rPr>
        <w:t>Stakeholder communication matrix</w:t>
      </w:r>
    </w:p>
    <w:p w14:paraId="191527CE">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Table 8: Stakeholder communication matrix</w:t>
      </w:r>
    </w:p>
    <w:tbl>
      <w:tblPr>
        <w:tblStyle w:val="31"/>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347"/>
        <w:gridCol w:w="3094"/>
        <w:gridCol w:w="4187"/>
      </w:tblGrid>
      <w:tr w14:paraId="11428171">
        <w:trPr>
          <w:cantSplit/>
          <w:tblHeader/>
        </w:trPr>
        <w:tc>
          <w:tcPr>
            <w:shd w:val="clear" w:color="auto" w:fill="D9E2F3"/>
          </w:tcPr>
          <w:p w14:paraId="6D8BA20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Audience</w:t>
            </w:r>
          </w:p>
        </w:tc>
        <w:tc>
          <w:tcPr>
            <w:shd w:val="clear" w:color="auto" w:fill="D9E2F3"/>
          </w:tcPr>
          <w:p w14:paraId="3095777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Owner / channel</w:t>
            </w:r>
          </w:p>
        </w:tc>
        <w:tc>
          <w:tcPr>
            <w:shd w:val="clear" w:color="auto" w:fill="D9E2F3"/>
          </w:tcPr>
          <w:p w14:paraId="3FF1E41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Timing and content</w:t>
            </w:r>
          </w:p>
        </w:tc>
      </w:tr>
      <w:tr w14:paraId="26046E8D">
        <w:trPr>
          <w:cantSplit/>
        </w:trPr>
        <w:tc>
          <w:p w14:paraId="1825044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Learners and applicants</w:t>
            </w:r>
          </w:p>
        </w:tc>
        <w:tc>
          <w:p w14:paraId="2491F70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Communications Lead; verified email, SMS, website notice</w:t>
            </w:r>
          </w:p>
        </w:tc>
        <w:tc>
          <w:p w14:paraId="1C9A51F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Initial notice immediately; practical instructions, deadlines, accessibility contact and next update.</w:t>
            </w:r>
          </w:p>
        </w:tc>
      </w:tr>
      <w:tr w14:paraId="796C7C9E">
        <w:trPr>
          <w:cantSplit/>
        </w:trPr>
        <w:tc>
          <w:p w14:paraId="55F3B81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Staff and managers</w:t>
            </w:r>
          </w:p>
        </w:tc>
        <w:tc>
          <w:p w14:paraId="2BF5116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Continuity Coordinator; M365/email plus phone tree</w:t>
            </w:r>
          </w:p>
        </w:tc>
        <w:tc>
          <w:p w14:paraId="040500C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Activation, assigned tasks, safe working location and reporting cadence.</w:t>
            </w:r>
          </w:p>
        </w:tc>
      </w:tr>
      <w:tr w14:paraId="3FFCB729">
        <w:trPr>
          <w:cantSplit/>
        </w:trPr>
        <w:tc>
          <w:p w14:paraId="120661F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Parents/sponsors where appropriate</w:t>
            </w:r>
          </w:p>
        </w:tc>
        <w:tc>
          <w:p w14:paraId="25C7751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Learner Services; approved contact channels</w:t>
            </w:r>
          </w:p>
        </w:tc>
        <w:tc>
          <w:p w14:paraId="68762AA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Only necessary confirmed information; protect learner privacy.</w:t>
            </w:r>
          </w:p>
        </w:tc>
      </w:tr>
      <w:tr w14:paraId="078D7CD4">
        <w:trPr>
          <w:cantSplit/>
        </w:trPr>
        <w:tc>
          <w:p w14:paraId="02271BA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Payment provider and critical suppliers</w:t>
            </w:r>
          </w:p>
        </w:tc>
        <w:tc>
          <w:p w14:paraId="69F11B2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Finance/Procurement; verified supplier contacts</w:t>
            </w:r>
          </w:p>
        </w:tc>
        <w:tc>
          <w:p w14:paraId="6906729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Request transaction export, service status, escalation reference and written confirmation.</w:t>
            </w:r>
          </w:p>
        </w:tc>
      </w:tr>
      <w:tr w14:paraId="70B272DF">
        <w:trPr>
          <w:cantSplit/>
        </w:trPr>
        <w:tc>
          <w:p w14:paraId="6240583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Executive leadership / regulators if required</w:t>
            </w:r>
          </w:p>
        </w:tc>
        <w:tc>
          <w:p w14:paraId="2B6F94F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Incident Coordinator with legal/privacy lead</w:t>
            </w:r>
          </w:p>
        </w:tc>
        <w:tc>
          <w:p w14:paraId="34B08EF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Material impact, decisions, data exposure assessment and mandatory notifications if applicable.</w:t>
            </w:r>
          </w:p>
        </w:tc>
      </w:tr>
      <w:bookmarkEnd w:id="17"/>
    </w:tbl>
    <w:p w14:paraId="0AC785E1">
      <w:pPr>
        <w:pStyle w:val="5"/>
        <w:spacing w:line="240" w:lineRule="auto"/>
        <w:rPr>
          <w:rFonts w:hint="default" w:ascii="Times New Roman Regular" w:hAnsi="Times New Roman Regular" w:cs="Times New Roman Regular"/>
          <w:color w:val="auto"/>
        </w:rPr>
      </w:pPr>
      <w:bookmarkStart w:id="18" w:name="initial-learner-notice"/>
      <w:r>
        <w:rPr>
          <w:rFonts w:hint="default" w:ascii="Times New Roman Regular" w:hAnsi="Times New Roman Regular" w:cs="Times New Roman Regular"/>
          <w:color w:val="auto"/>
        </w:rPr>
        <w:t>Initial learner notice</w:t>
      </w:r>
    </w:p>
    <w:p w14:paraId="4CBB0D25">
      <w:pPr>
        <w:pStyle w:val="14"/>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Subject: Important notice – temporary disruption to Northbridge services</w:t>
      </w:r>
    </w:p>
    <w:p w14:paraId="084AF0CE">
      <w:pPr>
        <w:pStyle w:val="14"/>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Dear learners,</w:t>
      </w:r>
    </w:p>
    <w:p w14:paraId="1FF86CD5">
      <w:pPr>
        <w:pStyle w:val="14"/>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Northbridge Skills Institute’s main site is temporarily unavailable following flooding and a power failure this morning. Our immediate priority is your safety and ensuring that teaching, assessments, payments and registration are handled fairly and securely. We are activating temporary arrangements and checking which services can be delivered safely.</w:t>
      </w:r>
    </w:p>
    <w:p w14:paraId="04B3ED70">
      <w:pPr>
        <w:pStyle w:val="14"/>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If you are scheduled for today’s 11:00 examination, please check your official institute email and the next verified update before travelling to the alternate facility. Do not assume that a seat is available unless you have received instructions. We will communicate any change to the examination through official channels and will aim to treat all candidates consistently, including those who need accessibility support.</w:t>
      </w:r>
    </w:p>
    <w:p w14:paraId="0BD1ED08">
      <w:pPr>
        <w:pStyle w:val="14"/>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Please do not send payment details, identity documents or passwords through public groups. Keep any payment confirmation or application acknowledgement you already have; it may help with reconciliation.</w:t>
      </w:r>
    </w:p>
    <w:p w14:paraId="4AE0C39F">
      <w:pPr>
        <w:pStyle w:val="14"/>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Our next update will be issued as soon as arrangements are confirmed. Thank you for your patience and cooperation.</w:t>
      </w:r>
    </w:p>
    <w:p w14:paraId="4071870C">
      <w:pPr>
        <w:pStyle w:val="14"/>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Northbridge Skills Institute</w:t>
      </w:r>
    </w:p>
    <w:bookmarkEnd w:id="18"/>
    <w:p w14:paraId="4F8B6121">
      <w:pPr>
        <w:pStyle w:val="5"/>
        <w:spacing w:line="240" w:lineRule="auto"/>
        <w:rPr>
          <w:rFonts w:hint="default" w:ascii="Times New Roman Regular" w:hAnsi="Times New Roman Regular" w:cs="Times New Roman Regular"/>
          <w:color w:val="auto"/>
        </w:rPr>
      </w:pPr>
      <w:bookmarkStart w:id="19" w:name="X81e91e5e0ac6f9775f40bccc6ba64be31a2979a"/>
      <w:r>
        <w:rPr>
          <w:rFonts w:hint="default" w:ascii="Times New Roman Regular" w:hAnsi="Times New Roman Regular" w:cs="Times New Roman Regular"/>
          <w:color w:val="auto"/>
        </w:rPr>
        <w:t>Incident response triggers and return to primary site</w:t>
      </w:r>
    </w:p>
    <w:p w14:paraId="692219E6">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Possible compromise triggers IR involvement if logs show an unexpected privileged logon, backup deletion, failed integrity checks, unauthorised changes, malware indicators or payments missing from restored records. Preserve logs, hashes, affected copies and timestamps; isolate suspect systems without destroying evidence. The primary site may be reoccupied only after facilities confirms structural, electrical, water and environmental safety. Transfer new records through an encrypted, access-controlled channel; reconcile counts and exception lists; retain the temporary ledger read-only as evidence. Business owners verify completeness, the DR Lead verifies technical stability, Facilities signs clearance, and the Executive Director approves final closure.</w:t>
      </w:r>
    </w:p>
    <w:bookmarkEnd w:id="12"/>
    <w:bookmarkEnd w:id="19"/>
    <w:p w14:paraId="492118DA">
      <w:pPr>
        <w:pStyle w:val="4"/>
        <w:spacing w:line="240" w:lineRule="auto"/>
        <w:rPr>
          <w:rFonts w:hint="default" w:ascii="Times New Roman Regular" w:hAnsi="Times New Roman Regular" w:cs="Times New Roman Regular"/>
          <w:color w:val="auto"/>
        </w:rPr>
      </w:pPr>
      <w:bookmarkStart w:id="20" w:name="task-5-recovery-schedule-and-exercise"/>
      <w:r>
        <w:rPr>
          <w:rFonts w:hint="default" w:ascii="Times New Roman Regular" w:hAnsi="Times New Roman Regular" w:cs="Times New Roman Regular"/>
          <w:color w:val="auto"/>
        </w:rPr>
        <w:t>Task 5 – Recovery schedule and exercise</w:t>
      </w:r>
    </w:p>
    <w:p w14:paraId="05ED77DD">
      <w:pPr>
        <w:pStyle w:val="5"/>
        <w:spacing w:line="240" w:lineRule="auto"/>
        <w:rPr>
          <w:rFonts w:hint="default" w:ascii="Times New Roman Regular" w:hAnsi="Times New Roman Regular" w:cs="Times New Roman Regular"/>
          <w:color w:val="auto"/>
        </w:rPr>
      </w:pPr>
      <w:bookmarkStart w:id="21" w:name="modelled-recovery-schedule"/>
      <w:r>
        <w:rPr>
          <w:rFonts w:hint="default" w:ascii="Times New Roman Regular" w:hAnsi="Times New Roman Regular" w:cs="Times New Roman Regular"/>
          <w:color w:val="auto"/>
        </w:rPr>
        <w:t>Modelled recovery schedule</w:t>
      </w:r>
    </w:p>
    <w:p w14:paraId="7D320550">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following is a modelled baseline using the supplied warm-site timings, starting at 08:00. Each action occupies one technician for its full duration; no action starts before its prerequisites are complete.</w:t>
      </w:r>
    </w:p>
    <w:p w14:paraId="18F797DC">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Table 9: Modelled warm-site recovery schedule</w:t>
      </w:r>
    </w:p>
    <w:tbl>
      <w:tblPr>
        <w:tblStyle w:val="31"/>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382"/>
        <w:gridCol w:w="1257"/>
        <w:gridCol w:w="745"/>
        <w:gridCol w:w="826"/>
        <w:gridCol w:w="3418"/>
      </w:tblGrid>
      <w:tr w14:paraId="5D6E1F3C">
        <w:trPr>
          <w:cantSplit/>
          <w:tblHeader/>
        </w:trPr>
        <w:tc>
          <w:tcPr>
            <w:shd w:val="clear" w:color="auto" w:fill="D9E2F3"/>
          </w:tcPr>
          <w:p w14:paraId="5348293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Action</w:t>
            </w:r>
          </w:p>
        </w:tc>
        <w:tc>
          <w:tcPr>
            <w:shd w:val="clear" w:color="auto" w:fill="D9E2F3"/>
          </w:tcPr>
          <w:p w14:paraId="795FE09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Technician</w:t>
            </w:r>
          </w:p>
        </w:tc>
        <w:tc>
          <w:tcPr>
            <w:shd w:val="clear" w:color="auto" w:fill="D9E2F3"/>
          </w:tcPr>
          <w:p w14:paraId="3D0BABC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Start</w:t>
            </w:r>
          </w:p>
        </w:tc>
        <w:tc>
          <w:tcPr>
            <w:shd w:val="clear" w:color="auto" w:fill="D9E2F3"/>
          </w:tcPr>
          <w:p w14:paraId="11B5792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Finish</w:t>
            </w:r>
          </w:p>
        </w:tc>
        <w:tc>
          <w:tcPr>
            <w:shd w:val="clear" w:color="auto" w:fill="D9E2F3"/>
          </w:tcPr>
          <w:p w14:paraId="0169F83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Prerequisite</w:t>
            </w:r>
          </w:p>
        </w:tc>
      </w:tr>
      <w:tr w14:paraId="2A2989E8">
        <w:trPr>
          <w:cantSplit/>
        </w:trPr>
        <w:tc>
          <w:p w14:paraId="1AA9461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Recovery network (30 min)</w:t>
            </w:r>
          </w:p>
        </w:tc>
        <w:tc>
          <w:p w14:paraId="52C85ED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Tech 1</w:t>
            </w:r>
          </w:p>
        </w:tc>
        <w:tc>
          <w:p w14:paraId="0840AA6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08:00</w:t>
            </w:r>
          </w:p>
        </w:tc>
        <w:tc>
          <w:p w14:paraId="75D1A88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08:30</w:t>
            </w:r>
          </w:p>
        </w:tc>
        <w:tc>
          <w:p w14:paraId="68D48EE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None</w:t>
            </w:r>
          </w:p>
        </w:tc>
      </w:tr>
      <w:tr w14:paraId="63D9C9D0">
        <w:trPr>
          <w:cantSplit/>
        </w:trPr>
        <w:tc>
          <w:p w14:paraId="7D59926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AUTH01 restoration (30 min)</w:t>
            </w:r>
          </w:p>
        </w:tc>
        <w:tc>
          <w:p w14:paraId="1592787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Tech 1</w:t>
            </w:r>
          </w:p>
        </w:tc>
        <w:tc>
          <w:p w14:paraId="50581A6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08:30</w:t>
            </w:r>
          </w:p>
        </w:tc>
        <w:tc>
          <w:p w14:paraId="3C03231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09:00</w:t>
            </w:r>
          </w:p>
        </w:tc>
        <w:tc>
          <w:p w14:paraId="52E7268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Recovery network</w:t>
            </w:r>
          </w:p>
        </w:tc>
      </w:tr>
      <w:tr w14:paraId="6DC5F067">
        <w:trPr>
          <w:cantSplit/>
        </w:trPr>
        <w:tc>
          <w:p w14:paraId="631B7E7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Security and backup checks (30 min)</w:t>
            </w:r>
          </w:p>
        </w:tc>
        <w:tc>
          <w:p w14:paraId="4C1AAC4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Tech 2</w:t>
            </w:r>
          </w:p>
        </w:tc>
        <w:tc>
          <w:p w14:paraId="1959C53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09:00</w:t>
            </w:r>
          </w:p>
        </w:tc>
        <w:tc>
          <w:p w14:paraId="35A20E1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09:30</w:t>
            </w:r>
          </w:p>
        </w:tc>
        <w:tc>
          <w:p w14:paraId="27A1AC5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AUTH01 restoration</w:t>
            </w:r>
          </w:p>
        </w:tc>
      </w:tr>
      <w:tr w14:paraId="7D0D4A9A">
        <w:trPr>
          <w:cantSplit/>
        </w:trPr>
        <w:tc>
          <w:p w14:paraId="646D9A0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DB01 restoration (90 min)</w:t>
            </w:r>
          </w:p>
        </w:tc>
        <w:tc>
          <w:p w14:paraId="30C789D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Tech 1</w:t>
            </w:r>
          </w:p>
        </w:tc>
        <w:tc>
          <w:p w14:paraId="683F0E8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09:30</w:t>
            </w:r>
          </w:p>
        </w:tc>
        <w:tc>
          <w:p w14:paraId="1D97A89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11:00</w:t>
            </w:r>
          </w:p>
        </w:tc>
        <w:tc>
          <w:p w14:paraId="42C843A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Security and backup checks</w:t>
            </w:r>
          </w:p>
        </w:tc>
      </w:tr>
      <w:tr w14:paraId="738BBC53">
        <w:trPr>
          <w:cantSplit/>
        </w:trPr>
        <w:tc>
          <w:p w14:paraId="22C63D8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FS01 restoration (60 min)</w:t>
            </w:r>
          </w:p>
        </w:tc>
        <w:tc>
          <w:p w14:paraId="3A398AF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Tech 2</w:t>
            </w:r>
          </w:p>
        </w:tc>
        <w:tc>
          <w:p w14:paraId="72E4C55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09:30</w:t>
            </w:r>
          </w:p>
        </w:tc>
        <w:tc>
          <w:p w14:paraId="572F2C6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10:30</w:t>
            </w:r>
          </w:p>
        </w:tc>
        <w:tc>
          <w:p w14:paraId="20639FE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AUTH01 and security/backup checks</w:t>
            </w:r>
          </w:p>
        </w:tc>
      </w:tr>
      <w:tr w14:paraId="68072CD6">
        <w:trPr>
          <w:cantSplit/>
        </w:trPr>
        <w:tc>
          <w:p w14:paraId="3BDAFEA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FIN01 restoration (30 min)</w:t>
            </w:r>
          </w:p>
        </w:tc>
        <w:tc>
          <w:p w14:paraId="2F90569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Tech 2</w:t>
            </w:r>
          </w:p>
        </w:tc>
        <w:tc>
          <w:p w14:paraId="6151513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11:00</w:t>
            </w:r>
          </w:p>
        </w:tc>
        <w:tc>
          <w:p w14:paraId="54FC326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11:30</w:t>
            </w:r>
          </w:p>
        </w:tc>
        <w:tc>
          <w:p w14:paraId="5955E13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DB01</w:t>
            </w:r>
          </w:p>
        </w:tc>
      </w:tr>
      <w:tr w14:paraId="42F2B8DC">
        <w:trPr>
          <w:cantSplit/>
        </w:trPr>
        <w:tc>
          <w:p w14:paraId="2ECFBF2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REG01 restoration (30 min)</w:t>
            </w:r>
          </w:p>
        </w:tc>
        <w:tc>
          <w:p w14:paraId="16DF536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Tech 2</w:t>
            </w:r>
          </w:p>
        </w:tc>
        <w:tc>
          <w:p w14:paraId="41905DE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11:30</w:t>
            </w:r>
          </w:p>
        </w:tc>
        <w:tc>
          <w:p w14:paraId="3EFD701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12:00</w:t>
            </w:r>
          </w:p>
        </w:tc>
        <w:tc>
          <w:p w14:paraId="395C7B2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DB01</w:t>
            </w:r>
          </w:p>
        </w:tc>
      </w:tr>
      <w:tr w14:paraId="5388C8F7">
        <w:trPr>
          <w:cantSplit/>
        </w:trPr>
        <w:tc>
          <w:p w14:paraId="1713FA3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LMS01 restoration (45 min)</w:t>
            </w:r>
          </w:p>
        </w:tc>
        <w:tc>
          <w:p w14:paraId="7834C11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Tech 1</w:t>
            </w:r>
          </w:p>
        </w:tc>
        <w:tc>
          <w:p w14:paraId="14756B9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11:00</w:t>
            </w:r>
          </w:p>
        </w:tc>
        <w:tc>
          <w:p w14:paraId="6C60A3F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11:45</w:t>
            </w:r>
          </w:p>
        </w:tc>
        <w:tc>
          <w:p w14:paraId="05E52A4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DB01</w:t>
            </w:r>
          </w:p>
        </w:tc>
      </w:tr>
      <w:tr w14:paraId="6AC994FF">
        <w:trPr>
          <w:cantSplit/>
        </w:trPr>
        <w:tc>
          <w:p w14:paraId="2A3B875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HR01 restoration (45 min)</w:t>
            </w:r>
          </w:p>
        </w:tc>
        <w:tc>
          <w:p w14:paraId="6B3C757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Tech 1</w:t>
            </w:r>
          </w:p>
        </w:tc>
        <w:tc>
          <w:p w14:paraId="6F74DF0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11:45</w:t>
            </w:r>
          </w:p>
        </w:tc>
        <w:tc>
          <w:p w14:paraId="10E6CE1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12:30</w:t>
            </w:r>
          </w:p>
        </w:tc>
        <w:tc>
          <w:p w14:paraId="2C64059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DB01</w:t>
            </w:r>
          </w:p>
        </w:tc>
      </w:tr>
    </w:tbl>
    <w:p w14:paraId="211B42C9">
      <w:pPr>
        <w:pStyle w:val="22"/>
        <w:keepNext w:val="0"/>
        <w:keepLines w:val="0"/>
        <w:widowControl/>
        <w:suppressLineNumbers w:val="0"/>
        <w:ind w:left="0" w:firstLine="0"/>
        <w:rPr>
          <w:rFonts w:hint="default" w:ascii="Times New Roman Regular" w:hAnsi="Times New Roman Regular" w:cs="Times New Roman Regular"/>
          <w:color w:val="auto"/>
        </w:rPr>
      </w:pPr>
      <w:r>
        <w:rPr>
          <w:rFonts w:hint="default" w:ascii="Times New Roman Regular" w:hAnsi="Times New Roman Regular" w:cs="Times New Roman Regular"/>
          <w:i w:val="0"/>
          <w:iCs w:val="0"/>
          <w:caps w:val="0"/>
          <w:color w:val="000000"/>
          <w:spacing w:val="0"/>
          <w:sz w:val="21"/>
          <w:szCs w:val="21"/>
          <w:u w:val="none"/>
        </w:rPr>
        <w:t>The recovery schedule is a modelled exercise based on the supplied task durations and the availability of two technicians. It is not evidence of a completed live recovery test. The model estimates that LMS01 becomes technically available at 11:45 and all five functions are restored by 12:30. This means the 11:00 examination cannot depend on technical restoration alone, so the Assessment Lead must make an earlier decision about an approved workaround or rescheduling. A service should only be declared recovered after technical validation and acceptance by the responsible business owner. Server availability alone does not prove that records are accurate, access is secure or the service is ready for use.</w:t>
      </w:r>
    </w:p>
    <w:p w14:paraId="067D6D5D">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Earliest technical assessment restoration is 11:45, 3 hours 45 minutes after disruption. The controlling path is network (30) → AUTH01 (30) → security/backup checks (30) → DB01 (90) → LMS01 (45), totalling 225 minutes. All five functions can be restored by 12:30 (4 hours 30 minutes after disruption). The schedule respects two technicians and allows FS01 to run in parallel with DB01 once its prerequisites are met.</w:t>
      </w:r>
    </w:p>
    <w:bookmarkEnd w:id="21"/>
    <w:p w14:paraId="321F0D42">
      <w:pPr>
        <w:pStyle w:val="5"/>
        <w:spacing w:line="240" w:lineRule="auto"/>
        <w:rPr>
          <w:rFonts w:hint="default" w:ascii="Times New Roman Regular" w:hAnsi="Times New Roman Regular" w:cs="Times New Roman Regular"/>
          <w:color w:val="auto"/>
        </w:rPr>
      </w:pPr>
      <w:bookmarkStart w:id="22" w:name="results-against-targets"/>
      <w:r>
        <w:rPr>
          <w:rFonts w:hint="default" w:ascii="Times New Roman Regular" w:hAnsi="Times New Roman Regular" w:cs="Times New Roman Regular"/>
          <w:color w:val="auto"/>
        </w:rPr>
        <w:t>Results against targets</w:t>
      </w:r>
    </w:p>
    <w:p w14:paraId="3778DBC6">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Table 10: Baseline recovery results against RTO and MTD</w:t>
      </w:r>
    </w:p>
    <w:tbl>
      <w:tblPr>
        <w:tblStyle w:val="31"/>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122"/>
        <w:gridCol w:w="1138"/>
        <w:gridCol w:w="1911"/>
        <w:gridCol w:w="856"/>
        <w:gridCol w:w="4601"/>
      </w:tblGrid>
      <w:tr w14:paraId="0163B3CA">
        <w:trPr>
          <w:cantSplit/>
          <w:tblHeader/>
        </w:trPr>
        <w:tc>
          <w:tcPr>
            <w:shd w:val="clear" w:color="auto" w:fill="D9E2F3"/>
          </w:tcPr>
          <w:p w14:paraId="129B1EF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Function</w:t>
            </w:r>
          </w:p>
        </w:tc>
        <w:tc>
          <w:tcPr>
            <w:shd w:val="clear" w:color="auto" w:fill="D9E2F3"/>
          </w:tcPr>
          <w:p w14:paraId="67C6123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Elapsed recovery</w:t>
            </w:r>
          </w:p>
        </w:tc>
        <w:tc>
          <w:tcPr>
            <w:shd w:val="clear" w:color="auto" w:fill="D9E2F3"/>
          </w:tcPr>
          <w:p w14:paraId="2CD48FC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RTO target</w:t>
            </w:r>
          </w:p>
        </w:tc>
        <w:tc>
          <w:tcPr>
            <w:shd w:val="clear" w:color="auto" w:fill="D9E2F3"/>
          </w:tcPr>
          <w:p w14:paraId="7321DCB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MTD target</w:t>
            </w:r>
          </w:p>
        </w:tc>
        <w:tc>
          <w:tcPr>
            <w:shd w:val="clear" w:color="auto" w:fill="D9E2F3"/>
          </w:tcPr>
          <w:p w14:paraId="76078AE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Baseline result</w:t>
            </w:r>
          </w:p>
        </w:tc>
      </w:tr>
      <w:tr w14:paraId="53427C81">
        <w:trPr>
          <w:cantSplit/>
        </w:trPr>
        <w:tc>
          <w:p w14:paraId="18CE79C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F1 Assessment</w:t>
            </w:r>
          </w:p>
        </w:tc>
        <w:tc>
          <w:p w14:paraId="654EA43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3h 45m</w:t>
            </w:r>
          </w:p>
        </w:tc>
        <w:tc>
          <w:p w14:paraId="4752B88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2h service target; 4h technology fallback</w:t>
            </w:r>
          </w:p>
        </w:tc>
        <w:tc>
          <w:p w14:paraId="7F6FBB7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6h</w:t>
            </w:r>
          </w:p>
        </w:tc>
        <w:tc>
          <w:p w14:paraId="069E28E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Misses 2h target and 11:00 exam; technically within 4h fallback, but continuity/rescheduling decision required.</w:t>
            </w:r>
          </w:p>
        </w:tc>
      </w:tr>
      <w:tr w14:paraId="6FA7F751">
        <w:trPr>
          <w:cantSplit/>
        </w:trPr>
        <w:tc>
          <w:p w14:paraId="21DC5A4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F2 Finance</w:t>
            </w:r>
          </w:p>
        </w:tc>
        <w:tc>
          <w:p w14:paraId="0896876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3h 30m</w:t>
            </w:r>
          </w:p>
        </w:tc>
        <w:tc>
          <w:p w14:paraId="4F247D6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4h</w:t>
            </w:r>
          </w:p>
        </w:tc>
        <w:tc>
          <w:p w14:paraId="6C9052B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8h</w:t>
            </w:r>
          </w:p>
        </w:tc>
        <w:tc>
          <w:p w14:paraId="0508591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Meets RTO, but 16:00 deadline requires temporary ledger and reconciliation.</w:t>
            </w:r>
          </w:p>
        </w:tc>
      </w:tr>
      <w:tr w14:paraId="328D2562">
        <w:trPr>
          <w:cantSplit/>
        </w:trPr>
        <w:tc>
          <w:p w14:paraId="567CCDA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F3 Admissions</w:t>
            </w:r>
          </w:p>
        </w:tc>
        <w:tc>
          <w:p w14:paraId="0BBF939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4h</w:t>
            </w:r>
          </w:p>
        </w:tc>
        <w:tc>
          <w:p w14:paraId="0B19D6C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6h</w:t>
            </w:r>
          </w:p>
        </w:tc>
        <w:tc>
          <w:p w14:paraId="5A871CC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10h</w:t>
            </w:r>
          </w:p>
        </w:tc>
        <w:tc>
          <w:p w14:paraId="3FB025E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Meets target; deadline protection needs time-stamped temporary intake.</w:t>
            </w:r>
          </w:p>
        </w:tc>
      </w:tr>
      <w:tr w14:paraId="1349E816">
        <w:trPr>
          <w:cantSplit/>
        </w:trPr>
        <w:tc>
          <w:p w14:paraId="5995008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F4 Payroll</w:t>
            </w:r>
          </w:p>
        </w:tc>
        <w:tc>
          <w:p w14:paraId="47D23EE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4h 30m</w:t>
            </w:r>
          </w:p>
        </w:tc>
        <w:tc>
          <w:p w14:paraId="504B2F6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8h</w:t>
            </w:r>
          </w:p>
        </w:tc>
        <w:tc>
          <w:p w14:paraId="256643E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24h</w:t>
            </w:r>
          </w:p>
        </w:tc>
        <w:tc>
          <w:p w14:paraId="2EAB843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Meets target; validate before Day 1 12:00 bank submission.</w:t>
            </w:r>
          </w:p>
        </w:tc>
      </w:tr>
      <w:tr w14:paraId="5F3CFF7F">
        <w:trPr>
          <w:cantSplit/>
        </w:trPr>
        <w:tc>
          <w:p w14:paraId="3C53393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F5 Records</w:t>
            </w:r>
          </w:p>
        </w:tc>
        <w:tc>
          <w:p w14:paraId="2F79CFE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2h 30m</w:t>
            </w:r>
          </w:p>
        </w:tc>
        <w:tc>
          <w:p w14:paraId="72B2934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12h</w:t>
            </w:r>
          </w:p>
        </w:tc>
        <w:tc>
          <w:p w14:paraId="18E6ECA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48h</w:t>
            </w:r>
          </w:p>
        </w:tc>
        <w:tc>
          <w:p w14:paraId="2C8EF77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Meets target and 24-hour RPO if backup is valid.</w:t>
            </w:r>
          </w:p>
        </w:tc>
      </w:tr>
    </w:tbl>
    <w:p w14:paraId="3920C5C4">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Checkpoint comparison: DB01 at 07:00 has a one-hour data-loss window, which misses the proposed 15-minute F1/F2 RPO; AUTH01 at 00:00 has an eight-hour window, missing the proposed targets for local identity/configuration; FS01 at 23:00 Day −1 has a nine-hour window and meets the proposed 24-hour F5 RPO. These are modelled baseline results, not a live test. Successful restoration does not remove the need for continuity workarounds for the 11:00 exam, 16:00 fee confirmation and 18:00 admissions deadline.</w:t>
      </w:r>
    </w:p>
    <w:bookmarkEnd w:id="22"/>
    <w:p w14:paraId="00161DB1">
      <w:pPr>
        <w:pStyle w:val="5"/>
        <w:spacing w:line="240" w:lineRule="auto"/>
        <w:rPr>
          <w:rFonts w:hint="default" w:ascii="Times New Roman Regular" w:hAnsi="Times New Roman Regular" w:cs="Times New Roman Regular"/>
          <w:color w:val="auto"/>
        </w:rPr>
      </w:pPr>
      <w:bookmarkStart w:id="23" w:name="minute-tabletop-exercise"/>
      <w:r>
        <w:rPr>
          <w:rFonts w:hint="default" w:ascii="Times New Roman Regular" w:hAnsi="Times New Roman Regular" w:cs="Times New Roman Regular"/>
          <w:color w:val="auto"/>
        </w:rPr>
        <w:t>45-minute tabletop exercise</w:t>
      </w:r>
    </w:p>
    <w:p w14:paraId="1862D5E7">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Table 11: Tabletop exercise injects and decisions</w:t>
      </w:r>
    </w:p>
    <w:tbl>
      <w:tblPr>
        <w:tblStyle w:val="31"/>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133"/>
        <w:gridCol w:w="3163"/>
        <w:gridCol w:w="4332"/>
      </w:tblGrid>
      <w:tr w14:paraId="466A8881">
        <w:trPr>
          <w:cantSplit/>
          <w:tblHeader/>
        </w:trPr>
        <w:tc>
          <w:tcPr>
            <w:shd w:val="clear" w:color="auto" w:fill="D9E2F3"/>
          </w:tcPr>
          <w:p w14:paraId="455474C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Exercise time / inject</w:t>
            </w:r>
          </w:p>
        </w:tc>
        <w:tc>
          <w:tcPr>
            <w:shd w:val="clear" w:color="auto" w:fill="D9E2F3"/>
          </w:tcPr>
          <w:p w14:paraId="6D69C8D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Decision, owner and rationale</w:t>
            </w:r>
          </w:p>
        </w:tc>
        <w:tc>
          <w:tcPr>
            <w:shd w:val="clear" w:color="auto" w:fill="D9E2F3"/>
          </w:tcPr>
          <w:p w14:paraId="6528CDD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Revised action and service effect</w:t>
            </w:r>
          </w:p>
        </w:tc>
      </w:tr>
      <w:tr w14:paraId="52852517">
        <w:trPr>
          <w:cantSplit/>
        </w:trPr>
        <w:tc>
          <w:p w14:paraId="14E145B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Minute 10: closure extends to five days</w:t>
            </w:r>
          </w:p>
        </w:tc>
        <w:tc>
          <w:p w14:paraId="76F0F24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Executive Director accepts extended activation; Facilities confirms safety cannot be assumed from the original 72-hour estimate.</w:t>
            </w:r>
          </w:p>
        </w:tc>
        <w:tc>
          <w:p w14:paraId="140880D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Secure longer alternate-site lease, rota and supplies; move nonessential teaching online, extend learner support and reassess costs daily.</w:t>
            </w:r>
          </w:p>
        </w:tc>
      </w:tr>
      <w:tr w14:paraId="6C4DD5EA">
        <w:trPr>
          <w:cantSplit/>
        </w:trPr>
        <w:tc>
          <w:p w14:paraId="670A037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Minute 20: only 15 workstations available</w:t>
            </w:r>
          </w:p>
        </w:tc>
        <w:tc>
          <w:p w14:paraId="66A1889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Assessment Lead refuses to assume all 40 workstation-dependent candidates can be seated simultaneously.</w:t>
            </w:r>
          </w:p>
        </w:tc>
        <w:tc>
          <w:p w14:paraId="269166F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Recalculate supervised sittings and accessibility; confirm exam rules and fairness. If approved safe capacity cannot be achieved, reschedule consistently and notify candidates.</w:t>
            </w:r>
          </w:p>
        </w:tc>
      </w:tr>
      <w:tr w14:paraId="1E961E31">
        <w:trPr>
          <w:cantSplit/>
        </w:trPr>
        <w:tc>
          <w:p w14:paraId="484A445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Minute 30: DB01 increment fails integrity; unexpected backup admin logon</w:t>
            </w:r>
          </w:p>
        </w:tc>
        <w:tc>
          <w:p w14:paraId="47D92CB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DR Lead stops use of the suspect chain; Incident Response Lead investigates privileged logon and preserves evidence.</w:t>
            </w:r>
          </w:p>
        </w:tc>
        <w:tc>
          <w:p w14:paraId="02636A5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Quarantine increment, validate logs and immutable copy, restore from latest verified chain, quantify larger data-loss window and obtain risk acceptance before release.</w:t>
            </w:r>
          </w:p>
        </w:tc>
      </w:tr>
      <w:tr w14:paraId="3489F475">
        <w:trPr>
          <w:cantSplit/>
        </w:trPr>
        <w:tc>
          <w:p w14:paraId="2ABD972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Minute 40: provider payments absent from restored finance records</w:t>
            </w:r>
          </w:p>
        </w:tc>
        <w:tc>
          <w:p w14:paraId="7065D18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Finance Manager treats this as a reconciliation exception and possible integrity incident, not as proof of fraud.</w:t>
            </w:r>
          </w:p>
        </w:tc>
        <w:tc>
          <w:p w14:paraId="2CD7B61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Pause affected balance updates/refunds, obtain signed provider settlement export, match unique references and timestamps, dual-approve corrections, and involve IR if evidence suggests tampering.</w:t>
            </w:r>
          </w:p>
        </w:tc>
      </w:tr>
    </w:tbl>
    <w:p w14:paraId="7C572C0F">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stress injects are separate from the baseline schedule: the baseline assumes supplied backups pass integrity checks and the alternate site can supply 25 workstations. The exercise tests decisions under changed assumptions, not actual recovery performance.</w:t>
      </w:r>
    </w:p>
    <w:bookmarkEnd w:id="23"/>
    <w:p w14:paraId="1ABA3DE8">
      <w:pPr>
        <w:pStyle w:val="5"/>
        <w:spacing w:line="240" w:lineRule="auto"/>
        <w:rPr>
          <w:rFonts w:hint="default" w:ascii="Times New Roman Regular" w:hAnsi="Times New Roman Regular" w:cs="Times New Roman Regular"/>
          <w:color w:val="auto"/>
        </w:rPr>
      </w:pPr>
      <w:bookmarkStart w:id="24" w:name="corrective-action-register"/>
      <w:r>
        <w:rPr>
          <w:rFonts w:hint="default" w:ascii="Times New Roman Regular" w:hAnsi="Times New Roman Regular" w:cs="Times New Roman Regular"/>
          <w:color w:val="auto"/>
        </w:rPr>
        <w:t>Corrective action register</w:t>
      </w:r>
    </w:p>
    <w:p w14:paraId="7EDDF58E">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Table 12: Corrective action register</w:t>
      </w:r>
    </w:p>
    <w:tbl>
      <w:tblPr>
        <w:tblStyle w:val="31"/>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492"/>
        <w:gridCol w:w="3653"/>
        <w:gridCol w:w="929"/>
        <w:gridCol w:w="3554"/>
      </w:tblGrid>
      <w:tr w14:paraId="74B25D15">
        <w:trPr>
          <w:cantSplit/>
          <w:tblHeader/>
        </w:trPr>
        <w:tc>
          <w:tcPr>
            <w:shd w:val="clear" w:color="auto" w:fill="D9E2F3"/>
          </w:tcPr>
          <w:p w14:paraId="51EC9D5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Priority / owner</w:t>
            </w:r>
          </w:p>
        </w:tc>
        <w:tc>
          <w:tcPr>
            <w:shd w:val="clear" w:color="auto" w:fill="D9E2F3"/>
          </w:tcPr>
          <w:p w14:paraId="7257C7D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Action</w:t>
            </w:r>
          </w:p>
        </w:tc>
        <w:tc>
          <w:tcPr>
            <w:shd w:val="clear" w:color="auto" w:fill="D9E2F3"/>
          </w:tcPr>
          <w:p w14:paraId="68548AE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Target date</w:t>
            </w:r>
          </w:p>
        </w:tc>
        <w:tc>
          <w:tcPr>
            <w:shd w:val="clear" w:color="auto" w:fill="D9E2F3"/>
          </w:tcPr>
          <w:p w14:paraId="1270FEF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Measurable evidence</w:t>
            </w:r>
          </w:p>
        </w:tc>
      </w:tr>
      <w:tr w14:paraId="5A9A7B76">
        <w:trPr>
          <w:cantSplit/>
        </w:trPr>
        <w:tc>
          <w:p w14:paraId="257FC80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P1 – DR Lead</w:t>
            </w:r>
          </w:p>
        </w:tc>
        <w:tc>
          <w:p w14:paraId="67C5277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Separate production and backup admin identities; enforce MFA, least privilege and dual approval.</w:t>
            </w:r>
          </w:p>
        </w:tc>
        <w:tc>
          <w:p w14:paraId="64A0CF0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Within 14 days</w:t>
            </w:r>
          </w:p>
        </w:tc>
        <w:tc>
          <w:p w14:paraId="32919AE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Access review signed; test confirms production account cannot delete immutable copies.</w:t>
            </w:r>
          </w:p>
        </w:tc>
      </w:tr>
      <w:tr w14:paraId="127C3D71">
        <w:trPr>
          <w:cantSplit/>
        </w:trPr>
        <w:tc>
          <w:p w14:paraId="311C6C1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P1 – Backup owner</w:t>
            </w:r>
          </w:p>
        </w:tc>
        <w:tc>
          <w:p w14:paraId="2FB42FC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Implement immutable/offline backup and document independent provider access controls.</w:t>
            </w:r>
          </w:p>
        </w:tc>
        <w:tc>
          <w:p w14:paraId="500B8CD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Within 30 days</w:t>
            </w:r>
          </w:p>
        </w:tc>
        <w:tc>
          <w:p w14:paraId="2F63FF3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Configuration evidence, provider assurance and successful isolated restore.</w:t>
            </w:r>
          </w:p>
        </w:tc>
      </w:tr>
      <w:tr w14:paraId="6A015658">
        <w:trPr>
          <w:cantSplit/>
        </w:trPr>
        <w:tc>
          <w:p w14:paraId="4410A2F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P1 – Assessment Lead</w:t>
            </w:r>
          </w:p>
        </w:tc>
        <w:tc>
          <w:p w14:paraId="31668FA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Approve fair exam continuity and workstation allocation procedure.</w:t>
            </w:r>
          </w:p>
        </w:tc>
        <w:tc>
          <w:p w14:paraId="5142A0B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Within 14 days</w:t>
            </w:r>
          </w:p>
        </w:tc>
        <w:tc>
          <w:p w14:paraId="25C1711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Exercise record demonstrates all candidates receive consistent instructions and accessibility support.</w:t>
            </w:r>
          </w:p>
        </w:tc>
      </w:tr>
      <w:tr w14:paraId="5C1B9FF4">
        <w:trPr>
          <w:cantSplit/>
        </w:trPr>
        <w:tc>
          <w:p w14:paraId="6E91B46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P2 – Finance Manager</w:t>
            </w:r>
          </w:p>
        </w:tc>
        <w:tc>
          <w:p w14:paraId="6B1244F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Create payment-provider reconciliation template and exception escalation path.</w:t>
            </w:r>
          </w:p>
        </w:tc>
        <w:tc>
          <w:p w14:paraId="4E2451D8">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Within 21 days</w:t>
            </w:r>
          </w:p>
        </w:tc>
        <w:tc>
          <w:p w14:paraId="22F37E7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Sample reconciliation reaches 100% matched or documented exceptions with dual sign-off.</w:t>
            </w:r>
          </w:p>
        </w:tc>
      </w:tr>
      <w:tr w14:paraId="0F9F1913">
        <w:trPr>
          <w:cantSplit/>
        </w:trPr>
        <w:tc>
          <w:p w14:paraId="6259BBF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P2 – DR Lead</w:t>
            </w:r>
          </w:p>
        </w:tc>
        <w:tc>
          <w:p w14:paraId="6A5A36C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Run DB01 chain-failure recovery test and time all steps.</w:t>
            </w:r>
          </w:p>
        </w:tc>
        <w:tc>
          <w:p w14:paraId="06596C4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Within 45 days</w:t>
            </w:r>
          </w:p>
        </w:tc>
        <w:tc>
          <w:p w14:paraId="3C5C0B5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Restore report records recovery point, elapsed time, hashes, exceptions and business acceptance.</w:t>
            </w:r>
          </w:p>
        </w:tc>
      </w:tr>
      <w:tr w14:paraId="1323BEDD">
        <w:trPr>
          <w:cantSplit/>
        </w:trPr>
        <w:tc>
          <w:p w14:paraId="005B664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P2 – Continuity Coordinator</w:t>
            </w:r>
          </w:p>
        </w:tc>
        <w:tc>
          <w:p w14:paraId="2DF0323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Conduct five-day site outage tabletop and update contacts/supplier rota.</w:t>
            </w:r>
          </w:p>
        </w:tc>
        <w:tc>
          <w:p w14:paraId="4D24048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Within 60 days</w:t>
            </w:r>
          </w:p>
        </w:tc>
        <w:tc>
          <w:p w14:paraId="3941822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Attendance list, decisions log and assigned corrective actions; at least 90% actions on time.</w:t>
            </w:r>
          </w:p>
        </w:tc>
      </w:tr>
      <w:bookmarkEnd w:id="20"/>
      <w:bookmarkEnd w:id="24"/>
    </w:tbl>
    <w:p w14:paraId="539178D7">
      <w:pPr>
        <w:pStyle w:val="4"/>
        <w:spacing w:line="240" w:lineRule="auto"/>
        <w:rPr>
          <w:rFonts w:hint="default" w:ascii="Times New Roman Regular" w:hAnsi="Times New Roman Regular" w:cs="Times New Roman Regular"/>
          <w:color w:val="auto"/>
        </w:rPr>
      </w:pPr>
      <w:bookmarkStart w:id="25" w:name="Xa43170621ae4953082be85e28eb33211727374e"/>
      <w:r>
        <w:rPr>
          <w:rFonts w:hint="default" w:ascii="Times New Roman Regular" w:hAnsi="Times New Roman Regular" w:cs="Times New Roman Regular"/>
          <w:color w:val="auto"/>
        </w:rPr>
        <w:t>Task 6 – Governance and performance measures</w:t>
      </w:r>
    </w:p>
    <w:p w14:paraId="5585CC05">
      <w:pPr>
        <w:pStyle w:val="5"/>
        <w:spacing w:line="240" w:lineRule="auto"/>
        <w:rPr>
          <w:rFonts w:hint="default" w:ascii="Times New Roman Regular" w:hAnsi="Times New Roman Regular" w:cs="Times New Roman Regular"/>
          <w:color w:val="auto"/>
        </w:rPr>
      </w:pPr>
      <w:bookmarkStart w:id="26" w:name="X17a84e5ef201fb3d214f90287d0a71dc833a8b2"/>
      <w:r>
        <w:rPr>
          <w:rFonts w:hint="default" w:ascii="Times New Roman Regular" w:hAnsi="Times New Roman Regular" w:cs="Times New Roman Regular"/>
          <w:color w:val="auto"/>
        </w:rPr>
        <w:t>Ownership, testing and framework alignment</w:t>
      </w:r>
    </w:p>
    <w:p w14:paraId="3A57A7EB">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Executive Director approves the BCDR plan and accepts residual business risk. The Continuity Coordinator owns the document, contact tree, exercise calendar and distribution; the DR Lead owns technical runbooks and recovery evidence; each business manager owns minimum-service procedures and acceptance criteria. Review the plan annually and after a real incident, major application or supplier change, relocation, material risk change, failed test, or change to examination/payment deadlines. Use version numbers, approval date, document owner, review date and controlled distribution; withdraw obsolete copies.</w:t>
      </w:r>
    </w:p>
    <w:p w14:paraId="0CB774A9">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Proposed risk-based calendar: monthly backup-job and alert review; quarterly sample file/database restore and privileged-access review; twice-yearly technical recovery exercise; annual full BCDR exercise including a site outage and supplier failure; quarterly staff induction refreshers for relevant roles and annual all-staff awareness. Re-test after significant changes and track corrective actions to closure.</w:t>
      </w:r>
    </w:p>
    <w:p w14:paraId="3F232921">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Educational mapping to NIST SP 800-34 Rev. 1: (1) contingency policy and governance are reflected in activation authority and plan ownership; (2) the BIA is Task 1’s function-impact analysis and dependency mapping; (3) preventive controls appear in independent backups, access separation and environmental precautions; (4) recovery strategies are compared in Task 3; (5) the contingency plan and runbook appear in Task 4; (6) testing, training and exercises appear in Task 5 and the calendar; and (7) maintenance and corrective actions appear in Task 6. This is a high-level learning alignment, not a claim of formal compliance.</w:t>
      </w:r>
    </w:p>
    <w:p w14:paraId="1B837A42">
      <w:pPr>
        <w:pStyle w:val="3"/>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High-level alignment to ISO 22301:2019 themes includes context and interested parties (learners, staff, suppliers and deadlines), leadership and assigned accountability, planning for disruption risks and objectives, support through resources/training/communications, operation through BIA and continuity procedures, performance evaluation through exercises and KPIs, and improvement through corrective actions and review. The 2024 climate-action amendment reinforces considering whether climate change is relevant to organisational context and interested-party requirements. For Northbridge, flooding and power failure demonstrate the need to assess flood exposure, drainage, safe evacuation, backup power, alternate-site geography and supplier concentration. These are educational mappings to themes; the report does not claim certification.</w:t>
      </w:r>
    </w:p>
    <w:bookmarkEnd w:id="26"/>
    <w:p w14:paraId="71CB7FD5">
      <w:pPr>
        <w:pStyle w:val="5"/>
        <w:spacing w:line="240" w:lineRule="auto"/>
        <w:rPr>
          <w:rFonts w:hint="default" w:ascii="Times New Roman Regular" w:hAnsi="Times New Roman Regular" w:cs="Times New Roman Regular"/>
          <w:color w:val="auto"/>
        </w:rPr>
      </w:pPr>
      <w:bookmarkStart w:id="27" w:name="kpis-and-dashboard"/>
      <w:r>
        <w:rPr>
          <w:rFonts w:hint="default" w:ascii="Times New Roman Regular" w:hAnsi="Times New Roman Regular" w:cs="Times New Roman Regular"/>
          <w:color w:val="auto"/>
        </w:rPr>
        <w:t>KPIs and dashboard</w:t>
      </w:r>
    </w:p>
    <w:p w14:paraId="64E93C12">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bCs/>
          <w:color w:val="auto"/>
        </w:rPr>
        <w:t>Table 13: Key performance indicators</w:t>
      </w:r>
    </w:p>
    <w:tbl>
      <w:tblPr>
        <w:tblStyle w:val="31"/>
        <w:tblW w:w="5000"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491"/>
        <w:gridCol w:w="2198"/>
        <w:gridCol w:w="2462"/>
        <w:gridCol w:w="1477"/>
      </w:tblGrid>
      <w:tr w14:paraId="7C5FB10E">
        <w:trPr>
          <w:cantSplit/>
          <w:tblHeader/>
        </w:trPr>
        <w:tc>
          <w:tcPr>
            <w:shd w:val="clear" w:color="auto" w:fill="D9E2F3"/>
          </w:tcPr>
          <w:p w14:paraId="33BD6D7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KPI / formula</w:t>
            </w:r>
          </w:p>
        </w:tc>
        <w:tc>
          <w:tcPr>
            <w:shd w:val="clear" w:color="auto" w:fill="D9E2F3"/>
          </w:tcPr>
          <w:p w14:paraId="289F841F">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Source</w:t>
            </w:r>
          </w:p>
        </w:tc>
        <w:tc>
          <w:tcPr>
            <w:shd w:val="clear" w:color="auto" w:fill="D9E2F3"/>
          </w:tcPr>
          <w:p w14:paraId="791A99E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Target / frequency</w:t>
            </w:r>
          </w:p>
        </w:tc>
        <w:tc>
          <w:tcPr>
            <w:shd w:val="clear" w:color="auto" w:fill="D9E2F3"/>
          </w:tcPr>
          <w:p w14:paraId="0C1C93C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17"/>
              </w:rPr>
              <w:t>Accountable owner</w:t>
            </w:r>
          </w:p>
        </w:tc>
      </w:tr>
      <w:tr w14:paraId="0C228100">
        <w:trPr>
          <w:cantSplit/>
        </w:trPr>
        <w:tc>
          <w:p w14:paraId="7BD8E41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RTO attainment = functions recovered within approved RTO ÷ functions tested × 100%</w:t>
            </w:r>
          </w:p>
        </w:tc>
        <w:tc>
          <w:p w14:paraId="3FB7CF65">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Exercise timeline and signed acceptance forms</w:t>
            </w:r>
          </w:p>
        </w:tc>
        <w:tc>
          <w:p w14:paraId="480D306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≥90% within 12 months; report after each exercise and quarterly</w:t>
            </w:r>
          </w:p>
        </w:tc>
        <w:tc>
          <w:p w14:paraId="46FBC57A">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DR Lead</w:t>
            </w:r>
          </w:p>
        </w:tc>
      </w:tr>
      <w:tr w14:paraId="27E3A860">
        <w:trPr>
          <w:cantSplit/>
        </w:trPr>
        <w:tc>
          <w:p w14:paraId="587538EE">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Restore-test coverage = critical backup sets successfully restored and validated ÷ critical backup sets tested × 100%</w:t>
            </w:r>
          </w:p>
        </w:tc>
        <w:tc>
          <w:p w14:paraId="7658AA1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Backup catalogue, restore logs, hashes and validation checklists</w:t>
            </w:r>
          </w:p>
        </w:tc>
        <w:tc>
          <w:p w14:paraId="036DEA1C">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100% of critical sets tested at least quarterly; monthly dashboard</w:t>
            </w:r>
          </w:p>
        </w:tc>
        <w:tc>
          <w:p w14:paraId="7052CEC2">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Backup owner</w:t>
            </w:r>
          </w:p>
        </w:tc>
      </w:tr>
      <w:tr w14:paraId="3E2DA5BD">
        <w:trPr>
          <w:cantSplit/>
        </w:trPr>
        <w:tc>
          <w:p w14:paraId="4EEDC9E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Corrective-action closure = actions closed by due date ÷ actions due × 100%</w:t>
            </w:r>
          </w:p>
        </w:tc>
        <w:tc>
          <w:p w14:paraId="02B16A0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Action register and evidence links</w:t>
            </w:r>
          </w:p>
        </w:tc>
        <w:tc>
          <w:p w14:paraId="42D335F4">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≥90% on time; monthly</w:t>
            </w:r>
          </w:p>
        </w:tc>
        <w:tc>
          <w:p w14:paraId="7CB2ECE9">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Continuity Coordinator</w:t>
            </w:r>
          </w:p>
        </w:tc>
      </w:tr>
      <w:tr w14:paraId="7FAC7C34">
        <w:trPr>
          <w:cantSplit/>
        </w:trPr>
        <w:tc>
          <w:p w14:paraId="5A0EF35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Training completion = designated staff completing annual role-based training ÷ designated staff × 100%</w:t>
            </w:r>
          </w:p>
        </w:tc>
        <w:tc>
          <w:p w14:paraId="743B2F1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Training attendance and assessment results</w:t>
            </w:r>
          </w:p>
        </w:tc>
        <w:tc>
          <w:p w14:paraId="4F180E0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≥95% annually; quarterly review</w:t>
            </w:r>
          </w:p>
        </w:tc>
        <w:tc>
          <w:p w14:paraId="172DEAD1">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HR / Continuity Coordinator</w:t>
            </w:r>
          </w:p>
        </w:tc>
      </w:tr>
      <w:tr w14:paraId="2B051B22">
        <w:trPr>
          <w:cantSplit/>
        </w:trPr>
        <w:tc>
          <w:p w14:paraId="43840D4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RPO attainment = recovered datasets within approved RPO ÷ datasets tested × 100%</w:t>
            </w:r>
          </w:p>
        </w:tc>
        <w:tc>
          <w:p w14:paraId="7E6BB913">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Checkpoint timestamps and restore reports</w:t>
            </w:r>
          </w:p>
        </w:tc>
        <w:tc>
          <w:p w14:paraId="6D20E0C0">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≥95% initially, progressing to 100%; quarterly</w:t>
            </w:r>
          </w:p>
        </w:tc>
        <w:tc>
          <w:p w14:paraId="53EDD28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DR Lead and data owners</w:t>
            </w:r>
          </w:p>
        </w:tc>
      </w:tr>
      <w:tr w14:paraId="0472BD41">
        <w:trPr>
          <w:cantSplit/>
        </w:trPr>
        <w:tc>
          <w:p w14:paraId="2FD86F5B">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Business acceptance rate = recovered services with signed owner acceptance before release ÷ services restored × 100%</w:t>
            </w:r>
          </w:p>
        </w:tc>
        <w:tc>
          <w:p w14:paraId="23E30BA7">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Service validation forms</w:t>
            </w:r>
          </w:p>
        </w:tc>
        <w:tc>
          <w:p w14:paraId="31C1D4CD">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100% before declaring recovery; every exercise/incident</w:t>
            </w:r>
          </w:p>
        </w:tc>
        <w:tc>
          <w:p w14:paraId="7CFFE3C6">
            <w:pPr>
              <w:pStyle w:val="26"/>
              <w:spacing w:after="40" w:line="240" w:lineRule="auto"/>
              <w:jc w:val="left"/>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7"/>
              </w:rPr>
              <w:t>Business service owners</w:t>
            </w:r>
          </w:p>
        </w:tc>
      </w:tr>
      <w:bookmarkEnd w:id="27"/>
    </w:tbl>
    <w:p w14:paraId="5886B6F5">
      <w:pPr>
        <w:pStyle w:val="5"/>
        <w:spacing w:line="240" w:lineRule="auto"/>
        <w:rPr>
          <w:rFonts w:hint="default" w:ascii="Times New Roman Regular" w:hAnsi="Times New Roman Regular" w:cs="Times New Roman Regular"/>
          <w:color w:val="auto"/>
        </w:rPr>
      </w:pPr>
      <w:bookmarkStart w:id="28" w:name="maturity-assessment"/>
      <w:r>
        <w:rPr>
          <w:rFonts w:hint="default" w:ascii="Times New Roman Regular" w:hAnsi="Times New Roman Regular" w:cs="Times New Roman Regular"/>
          <w:color w:val="auto"/>
        </w:rPr>
        <w:t>Maturity assessment</w:t>
      </w:r>
    </w:p>
    <w:bookmarkEnd w:id="25"/>
    <w:bookmarkEnd w:id="28"/>
    <w:p w14:paraId="6C3908BC">
      <w:pPr>
        <w:pStyle w:val="22"/>
        <w:keepNext w:val="0"/>
        <w:keepLines w:val="0"/>
        <w:widowControl/>
        <w:suppressLineNumbers w:val="0"/>
        <w:ind w:left="0" w:firstLine="0"/>
        <w:rPr>
          <w:i w:val="0"/>
          <w:iCs w:val="0"/>
          <w:caps w:val="0"/>
          <w:color w:val="000000"/>
          <w:spacing w:val="0"/>
          <w:sz w:val="21"/>
          <w:szCs w:val="21"/>
          <w:u w:val="none"/>
        </w:rPr>
      </w:pPr>
      <w:bookmarkStart w:id="29" w:name="conclusion"/>
      <w:r>
        <w:rPr>
          <w:i w:val="0"/>
          <w:iCs w:val="0"/>
          <w:caps w:val="0"/>
          <w:color w:val="000000"/>
          <w:spacing w:val="0"/>
          <w:sz w:val="21"/>
          <w:szCs w:val="21"/>
          <w:u w:val="none"/>
        </w:rPr>
        <w:t>Before submission, I will check the maturity descriptions against the exact wording of slide 13 in the ICDFA teaching materials. Based on the current scenario, Northbridge appears to have some recovery planning and identified resources, but the shared administrator identity, unverified backup independence and need for more regular testing indicate that the programme requires improvement. The proposed target is a documented and consistently applied recovery programme with clear ownership, regular testing and recorded corrective actions. The final maturity level and label should match the criteria stated in slide 13 rather than relying on an assumed label.</w:t>
      </w:r>
    </w:p>
    <w:p w14:paraId="5B55D5DC">
      <w:pPr>
        <w:pStyle w:val="4"/>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Conclusion</w:t>
      </w:r>
    </w:p>
    <w:p w14:paraId="37E286C5">
      <w:pPr>
        <w:pStyle w:val="25"/>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Northbridge should activate continuity immediately, protect learner fairness and safety, and restore systems in dependency order without treating technical availability as proof of business readiness. The warm-site baseline shows assessment service at 11:45 and all five functions by 12:30, which is too late for the 11:00 exam and demands an explicit continuity decision. The Hot strategy fits the annual limit only when all required additions are included and offers the closest estimated match to the tightest recovery objectives. Approval should be conditional on independent backup controls, demonstrated restoration, clear supplier commitments and regular exercises. The most important outcome is a recoverable, trustworthy service with accountable business acceptance—not merely a server that starts.</w:t>
      </w:r>
    </w:p>
    <w:bookmarkEnd w:id="29"/>
    <w:p w14:paraId="4A64BEA3">
      <w:pPr>
        <w:pStyle w:val="4"/>
        <w:spacing w:line="240" w:lineRule="auto"/>
        <w:rPr>
          <w:rFonts w:hint="default" w:ascii="Times New Roman Regular" w:hAnsi="Times New Roman Regular" w:cs="Times New Roman Regular"/>
          <w:color w:val="auto"/>
        </w:rPr>
      </w:pPr>
      <w:bookmarkStart w:id="30" w:name="references"/>
      <w:r>
        <w:rPr>
          <w:rFonts w:hint="default" w:ascii="Times New Roman Regular" w:hAnsi="Times New Roman Regular" w:cs="Times New Roman Regular"/>
          <w:color w:val="auto"/>
        </w:rPr>
        <w:t>References</w:t>
      </w:r>
    </w:p>
    <w:p w14:paraId="106C15AF">
      <w:pPr>
        <w:pStyle w:val="22"/>
        <w:keepNext w:val="0"/>
        <w:keepLines w:val="0"/>
        <w:widowControl/>
        <w:suppressLineNumbers w:val="0"/>
        <w:ind w:left="0" w:firstLine="0"/>
        <w:rPr>
          <w:i w:val="0"/>
          <w:iCs w:val="0"/>
          <w:caps w:val="0"/>
          <w:color w:val="000000"/>
          <w:spacing w:val="0"/>
          <w:sz w:val="21"/>
          <w:szCs w:val="21"/>
          <w:u w:val="none"/>
        </w:rPr>
      </w:pPr>
      <w:r>
        <w:rPr>
          <w:i w:val="0"/>
          <w:iCs w:val="0"/>
          <w:caps w:val="0"/>
          <w:color w:val="000000"/>
          <w:spacing w:val="0"/>
          <w:sz w:val="21"/>
          <w:szCs w:val="21"/>
          <w:u w:val="none"/>
        </w:rPr>
        <w:t>International Organization for Standardization (ISO). (2019). </w:t>
      </w:r>
      <w:r>
        <w:rPr>
          <w:rStyle w:val="17"/>
          <w:i w:val="0"/>
          <w:iCs w:val="0"/>
          <w:caps w:val="0"/>
          <w:color w:val="000000"/>
          <w:spacing w:val="0"/>
          <w:sz w:val="21"/>
          <w:szCs w:val="21"/>
          <w:u w:val="none"/>
        </w:rPr>
        <w:t>ISO 22301:2019 Security and resilience — Business continuity management systems — Requirements.</w:t>
      </w:r>
      <w:r>
        <w:rPr>
          <w:i w:val="0"/>
          <w:iCs w:val="0"/>
          <w:caps w:val="0"/>
          <w:color w:val="000000"/>
          <w:spacing w:val="0"/>
          <w:sz w:val="21"/>
          <w:szCs w:val="21"/>
          <w:u w:val="none"/>
        </w:rPr>
        <w:t> </w:t>
      </w:r>
      <w:r>
        <w:rPr>
          <w:i w:val="0"/>
          <w:iCs w:val="0"/>
          <w:caps w:val="0"/>
          <w:spacing w:val="0"/>
          <w:sz w:val="21"/>
          <w:szCs w:val="21"/>
          <w:u w:val="none"/>
        </w:rPr>
        <w:fldChar w:fldCharType="begin"/>
      </w:r>
      <w:r>
        <w:rPr>
          <w:i w:val="0"/>
          <w:iCs w:val="0"/>
          <w:caps w:val="0"/>
          <w:spacing w:val="0"/>
          <w:sz w:val="21"/>
          <w:szCs w:val="21"/>
          <w:u w:val="none"/>
        </w:rPr>
        <w:instrText xml:space="preserve"> HYPERLINK "https://www.iso.org/standard/75106.html" </w:instrText>
      </w:r>
      <w:r>
        <w:rPr>
          <w:i w:val="0"/>
          <w:iCs w:val="0"/>
          <w:caps w:val="0"/>
          <w:spacing w:val="0"/>
          <w:sz w:val="21"/>
          <w:szCs w:val="21"/>
          <w:u w:val="none"/>
        </w:rPr>
        <w:fldChar w:fldCharType="separate"/>
      </w:r>
      <w:r>
        <w:rPr>
          <w:rStyle w:val="21"/>
          <w:i w:val="0"/>
          <w:iCs w:val="0"/>
          <w:caps w:val="0"/>
          <w:spacing w:val="0"/>
          <w:sz w:val="21"/>
          <w:szCs w:val="21"/>
          <w:u w:val="none"/>
        </w:rPr>
        <w:t>https://www.iso.org/standard/75106.html</w:t>
      </w:r>
      <w:r>
        <w:rPr>
          <w:i w:val="0"/>
          <w:iCs w:val="0"/>
          <w:caps w:val="0"/>
          <w:spacing w:val="0"/>
          <w:sz w:val="21"/>
          <w:szCs w:val="21"/>
          <w:u w:val="none"/>
        </w:rPr>
        <w:fldChar w:fldCharType="end"/>
      </w:r>
    </w:p>
    <w:p w14:paraId="53387128">
      <w:pPr>
        <w:pStyle w:val="22"/>
        <w:keepNext w:val="0"/>
        <w:keepLines w:val="0"/>
        <w:widowControl/>
        <w:suppressLineNumbers w:val="0"/>
        <w:ind w:left="0" w:firstLine="0"/>
        <w:rPr>
          <w:i w:val="0"/>
          <w:iCs w:val="0"/>
          <w:caps w:val="0"/>
          <w:color w:val="000000"/>
          <w:spacing w:val="0"/>
          <w:sz w:val="21"/>
          <w:szCs w:val="21"/>
          <w:u w:val="none"/>
        </w:rPr>
      </w:pPr>
      <w:r>
        <w:rPr>
          <w:i w:val="0"/>
          <w:iCs w:val="0"/>
          <w:caps w:val="0"/>
          <w:color w:val="000000"/>
          <w:spacing w:val="0"/>
          <w:sz w:val="21"/>
          <w:szCs w:val="21"/>
          <w:u w:val="none"/>
        </w:rPr>
        <w:t>International Organization for Standardization (ISO). (2024). </w:t>
      </w:r>
      <w:r>
        <w:rPr>
          <w:rStyle w:val="17"/>
          <w:i w:val="0"/>
          <w:iCs w:val="0"/>
          <w:caps w:val="0"/>
          <w:color w:val="000000"/>
          <w:spacing w:val="0"/>
          <w:sz w:val="21"/>
          <w:szCs w:val="21"/>
          <w:u w:val="none"/>
        </w:rPr>
        <w:t>Climate action changes — ISO management system standards amendment.</w:t>
      </w:r>
      <w:r>
        <w:rPr>
          <w:i w:val="0"/>
          <w:iCs w:val="0"/>
          <w:caps w:val="0"/>
          <w:color w:val="000000"/>
          <w:spacing w:val="0"/>
          <w:sz w:val="21"/>
          <w:szCs w:val="21"/>
          <w:u w:val="none"/>
        </w:rPr>
        <w:t> </w:t>
      </w:r>
      <w:r>
        <w:rPr>
          <w:i w:val="0"/>
          <w:iCs w:val="0"/>
          <w:caps w:val="0"/>
          <w:spacing w:val="0"/>
          <w:sz w:val="21"/>
          <w:szCs w:val="21"/>
          <w:u w:val="none"/>
        </w:rPr>
        <w:fldChar w:fldCharType="begin"/>
      </w:r>
      <w:r>
        <w:rPr>
          <w:i w:val="0"/>
          <w:iCs w:val="0"/>
          <w:caps w:val="0"/>
          <w:spacing w:val="0"/>
          <w:sz w:val="21"/>
          <w:szCs w:val="21"/>
          <w:u w:val="none"/>
        </w:rPr>
        <w:instrText xml:space="preserve"> HYPERLINK "https://www.iso.org/management-system-standards.html" </w:instrText>
      </w:r>
      <w:r>
        <w:rPr>
          <w:i w:val="0"/>
          <w:iCs w:val="0"/>
          <w:caps w:val="0"/>
          <w:spacing w:val="0"/>
          <w:sz w:val="21"/>
          <w:szCs w:val="21"/>
          <w:u w:val="none"/>
        </w:rPr>
        <w:fldChar w:fldCharType="separate"/>
      </w:r>
      <w:r>
        <w:rPr>
          <w:rStyle w:val="21"/>
          <w:i w:val="0"/>
          <w:iCs w:val="0"/>
          <w:caps w:val="0"/>
          <w:spacing w:val="0"/>
          <w:sz w:val="21"/>
          <w:szCs w:val="21"/>
          <w:u w:val="none"/>
        </w:rPr>
        <w:t>https://www.iso.org/management-system-standards.html</w:t>
      </w:r>
      <w:r>
        <w:rPr>
          <w:i w:val="0"/>
          <w:iCs w:val="0"/>
          <w:caps w:val="0"/>
          <w:spacing w:val="0"/>
          <w:sz w:val="21"/>
          <w:szCs w:val="21"/>
          <w:u w:val="none"/>
        </w:rPr>
        <w:fldChar w:fldCharType="end"/>
      </w:r>
    </w:p>
    <w:p w14:paraId="22985B58">
      <w:pPr>
        <w:pStyle w:val="22"/>
        <w:keepNext w:val="0"/>
        <w:keepLines w:val="0"/>
        <w:widowControl/>
        <w:suppressLineNumbers w:val="0"/>
        <w:ind w:left="0" w:firstLine="0"/>
        <w:rPr>
          <w:i w:val="0"/>
          <w:iCs w:val="0"/>
          <w:caps w:val="0"/>
          <w:color w:val="000000"/>
          <w:spacing w:val="0"/>
          <w:sz w:val="21"/>
          <w:szCs w:val="21"/>
          <w:u w:val="none"/>
        </w:rPr>
      </w:pPr>
      <w:r>
        <w:rPr>
          <w:i w:val="0"/>
          <w:iCs w:val="0"/>
          <w:caps w:val="0"/>
          <w:color w:val="000000"/>
          <w:spacing w:val="0"/>
          <w:sz w:val="21"/>
          <w:szCs w:val="21"/>
          <w:u w:val="none"/>
        </w:rPr>
        <w:t>International Cybersecurity Digital Forensics Academy (ICDFA). (n.d.). </w:t>
      </w:r>
      <w:r>
        <w:rPr>
          <w:rStyle w:val="17"/>
          <w:i w:val="0"/>
          <w:iCs w:val="0"/>
          <w:caps w:val="0"/>
          <w:color w:val="000000"/>
          <w:spacing w:val="0"/>
          <w:sz w:val="21"/>
          <w:szCs w:val="21"/>
          <w:u w:val="none"/>
        </w:rPr>
        <w:t>Business Continuity and Disaster Recovery.</w:t>
      </w:r>
      <w:r>
        <w:rPr>
          <w:i w:val="0"/>
          <w:iCs w:val="0"/>
          <w:caps w:val="0"/>
          <w:color w:val="000000"/>
          <w:spacing w:val="0"/>
          <w:sz w:val="21"/>
          <w:szCs w:val="21"/>
          <w:u w:val="none"/>
        </w:rPr>
        <w:t>GRC205, Week 21 teaching deck.</w:t>
      </w:r>
    </w:p>
    <w:p w14:paraId="773BAEE6">
      <w:pPr>
        <w:pStyle w:val="22"/>
        <w:keepNext w:val="0"/>
        <w:keepLines w:val="0"/>
        <w:widowControl/>
        <w:suppressLineNumbers w:val="0"/>
        <w:ind w:left="0" w:firstLine="0"/>
        <w:rPr>
          <w:i w:val="0"/>
          <w:iCs w:val="0"/>
          <w:caps w:val="0"/>
          <w:color w:val="000000"/>
          <w:spacing w:val="0"/>
          <w:sz w:val="21"/>
          <w:szCs w:val="21"/>
          <w:u w:val="none"/>
        </w:rPr>
      </w:pPr>
      <w:r>
        <w:rPr>
          <w:i w:val="0"/>
          <w:iCs w:val="0"/>
          <w:caps w:val="0"/>
          <w:color w:val="000000"/>
          <w:spacing w:val="0"/>
          <w:sz w:val="21"/>
          <w:szCs w:val="21"/>
          <w:u w:val="none"/>
        </w:rPr>
        <w:t>National Institute of Standards and Technology (NIST). (2010). </w:t>
      </w:r>
      <w:r>
        <w:rPr>
          <w:rStyle w:val="17"/>
          <w:i w:val="0"/>
          <w:iCs w:val="0"/>
          <w:caps w:val="0"/>
          <w:color w:val="000000"/>
          <w:spacing w:val="0"/>
          <w:sz w:val="21"/>
          <w:szCs w:val="21"/>
          <w:u w:val="none"/>
        </w:rPr>
        <w:t>Contingency Planning Guide for Federal Information Systems</w:t>
      </w:r>
      <w:r>
        <w:rPr>
          <w:i w:val="0"/>
          <w:iCs w:val="0"/>
          <w:caps w:val="0"/>
          <w:color w:val="000000"/>
          <w:spacing w:val="0"/>
          <w:sz w:val="21"/>
          <w:szCs w:val="21"/>
          <w:u w:val="none"/>
        </w:rPr>
        <w:t> (Special Publication 800-34 Rev. 1). </w:t>
      </w:r>
      <w:r>
        <w:rPr>
          <w:i w:val="0"/>
          <w:iCs w:val="0"/>
          <w:caps w:val="0"/>
          <w:spacing w:val="0"/>
          <w:sz w:val="21"/>
          <w:szCs w:val="21"/>
          <w:u w:val="none"/>
        </w:rPr>
        <w:fldChar w:fldCharType="begin"/>
      </w:r>
      <w:r>
        <w:rPr>
          <w:i w:val="0"/>
          <w:iCs w:val="0"/>
          <w:caps w:val="0"/>
          <w:spacing w:val="0"/>
          <w:sz w:val="21"/>
          <w:szCs w:val="21"/>
          <w:u w:val="none"/>
        </w:rPr>
        <w:instrText xml:space="preserve"> HYPERLINK "https://csrc.nist.gov/pubs/sp/800/34/r1/final" </w:instrText>
      </w:r>
      <w:r>
        <w:rPr>
          <w:i w:val="0"/>
          <w:iCs w:val="0"/>
          <w:caps w:val="0"/>
          <w:spacing w:val="0"/>
          <w:sz w:val="21"/>
          <w:szCs w:val="21"/>
          <w:u w:val="none"/>
        </w:rPr>
        <w:fldChar w:fldCharType="separate"/>
      </w:r>
      <w:r>
        <w:rPr>
          <w:rStyle w:val="21"/>
          <w:i w:val="0"/>
          <w:iCs w:val="0"/>
          <w:caps w:val="0"/>
          <w:spacing w:val="0"/>
          <w:sz w:val="21"/>
          <w:szCs w:val="21"/>
          <w:u w:val="none"/>
        </w:rPr>
        <w:t>https://csrc.nist.gov/pubs/sp/800/34/r1/final</w:t>
      </w:r>
      <w:r>
        <w:rPr>
          <w:i w:val="0"/>
          <w:iCs w:val="0"/>
          <w:caps w:val="0"/>
          <w:spacing w:val="0"/>
          <w:sz w:val="21"/>
          <w:szCs w:val="21"/>
          <w:u w:val="none"/>
        </w:rPr>
        <w:fldChar w:fldCharType="end"/>
      </w:r>
    </w:p>
    <w:p w14:paraId="17152FFD">
      <w:pPr>
        <w:pStyle w:val="3"/>
        <w:spacing w:line="240" w:lineRule="auto"/>
        <w:rPr>
          <w:rFonts w:hint="default" w:ascii="Times New Roman Regular" w:hAnsi="Times New Roman Regular" w:cs="Times New Roman Regular"/>
          <w:color w:val="auto"/>
        </w:rPr>
      </w:pPr>
    </w:p>
    <w:bookmarkEnd w:id="0"/>
    <w:bookmarkEnd w:id="30"/>
    <w:sectPr>
      <w:pgSz w:w="11906" w:h="16838"/>
      <w:pgMar w:top="1247" w:right="1247" w:bottom="1247" w:left="124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86"/>
    <w:family w:val="auto"/>
    <w:pitch w:val="default"/>
    <w:sig w:usb0="00000000" w:usb1="00000000" w:usb2="00000000" w:usb3="00000000" w:csb0="00000001"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 w:name="SimSun">
    <w:altName w:val="宋体-简"/>
    <w:panose1 w:val="02010600030101010101"/>
    <w:charset w:val="86"/>
    <w:family w:val="auto"/>
    <w:pitch w:val="default"/>
    <w:sig w:usb0="00000000" w:usb1="00000000" w:usb2="00000010" w:usb3="00000000" w:csb0="00040001" w:csb1="00000000"/>
  </w:font>
  <w:font w:name="Optima Regular">
    <w:panose1 w:val="02000503060000020004"/>
    <w:charset w:val="00"/>
    <w:family w:val="auto"/>
    <w:pitch w:val="default"/>
    <w:sig w:usb0="80000067" w:usb1="00000000" w:usb2="00000000" w:usb3="00000000" w:csb0="00000001" w:csb1="00000000"/>
  </w:font>
  <w:font w:name="Times New Roman Bold">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F7BC2C"/>
    <w:rsid w:val="FADE060E"/>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Calibri" w:hAnsi="Calibri" w:eastAsia="Calibri" w:cstheme="minorBidi"/>
      <w:sz w:val="22"/>
      <w:szCs w:val="24"/>
      <w:lang w:val="en-US" w:eastAsia="en-US" w:bidi="ar-SA"/>
    </w:rPr>
  </w:style>
  <w:style w:type="paragraph" w:styleId="2">
    <w:name w:val="heading 1"/>
    <w:basedOn w:val="1"/>
    <w:next w:val="3"/>
    <w:link w:val="7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semiHidden/>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rPr>
      <w:rFonts w:ascii="Calibri" w:hAnsi="Calibri" w:eastAsia="Calibri"/>
      <w:sz w:val="22"/>
    </w:rPr>
  </w:style>
  <w:style w:type="paragraph" w:styleId="14">
    <w:name w:val="Block Text"/>
    <w:basedOn w:val="3"/>
    <w:next w:val="3"/>
    <w:unhideWhenUsed/>
    <w:qFormat/>
    <w:uiPriority w:val="9"/>
    <w:pPr>
      <w:spacing w:before="100" w:after="100"/>
      <w:ind w:left="480" w:right="480" w:firstLine="0"/>
    </w:pPr>
    <w:rPr>
      <w:rFonts w:ascii="Calibri" w:hAnsi="Calibri" w:eastAsia="Calibri"/>
      <w:sz w:val="22"/>
    </w:r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Emphasis"/>
    <w:basedOn w:val="12"/>
    <w:uiPriority w:val="0"/>
    <w:rPr>
      <w:i/>
      <w:iCs/>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4F81BD" w:themeColor="accent1"/>
    </w:rPr>
  </w:style>
  <w:style w:type="paragraph" w:styleId="22">
    <w:name w:val="Normal (Web)"/>
    <w:uiPriority w:val="0"/>
    <w:pPr>
      <w:spacing w:before="0" w:beforeAutospacing="1" w:after="0" w:afterAutospacing="1"/>
      <w:ind w:left="0" w:right="0"/>
      <w:jc w:val="left"/>
    </w:pPr>
    <w:rPr>
      <w:kern w:val="0"/>
      <w:sz w:val="24"/>
      <w:szCs w:val="24"/>
      <w:lang w:val="en-US" w:eastAsia="zh-CN" w:bidi="ar"/>
    </w:rPr>
  </w:style>
  <w:style w:type="paragraph" w:styleId="23">
    <w:name w:val="Subtitle"/>
    <w:basedOn w:val="24"/>
    <w:next w:val="3"/>
    <w:qFormat/>
    <w:uiPriority w:val="0"/>
    <w:pPr>
      <w:keepNext/>
      <w:keepLines/>
      <w:spacing w:before="240" w:after="240"/>
      <w:jc w:val="center"/>
    </w:pPr>
    <w:rPr>
      <w:sz w:val="30"/>
      <w:szCs w:val="30"/>
    </w:rPr>
  </w:style>
  <w:style w:type="paragraph" w:styleId="24">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5">
    <w:name w:val="First Paragraph"/>
    <w:basedOn w:val="3"/>
    <w:next w:val="3"/>
    <w:qFormat/>
    <w:uiPriority w:val="0"/>
    <w:rPr>
      <w:rFonts w:ascii="Calibri" w:hAnsi="Calibri" w:eastAsia="Calibri"/>
      <w:sz w:val="22"/>
    </w:rPr>
  </w:style>
  <w:style w:type="paragraph" w:customStyle="1" w:styleId="26">
    <w:name w:val="Compact"/>
    <w:basedOn w:val="3"/>
    <w:qFormat/>
    <w:uiPriority w:val="0"/>
    <w:pPr>
      <w:spacing w:before="36" w:after="36"/>
    </w:pPr>
    <w:rPr>
      <w:rFonts w:ascii="Calibri" w:hAnsi="Calibri" w:eastAsia="Calibri"/>
      <w:sz w:val="22"/>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color w:val="345A8A"/>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table" w:customStyle="1" w:styleId="3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2">
    <w:name w:val="Definition Term"/>
    <w:basedOn w:val="1"/>
    <w:next w:val="33"/>
    <w:uiPriority w:val="0"/>
    <w:pPr>
      <w:keepNext/>
      <w:keepLines/>
      <w:spacing w:after="0"/>
    </w:pPr>
    <w:rPr>
      <w:b/>
    </w:rPr>
  </w:style>
  <w:style w:type="paragraph" w:customStyle="1" w:styleId="33">
    <w:name w:val="Definition"/>
    <w:basedOn w:val="1"/>
    <w:uiPriority w:val="0"/>
  </w:style>
  <w:style w:type="paragraph" w:customStyle="1" w:styleId="34">
    <w:name w:val="Table Caption"/>
    <w:basedOn w:val="15"/>
    <w:uiPriority w:val="0"/>
    <w:pPr>
      <w:keepNext/>
    </w:pPr>
  </w:style>
  <w:style w:type="paragraph" w:customStyle="1" w:styleId="35">
    <w:name w:val="Image Caption"/>
    <w:basedOn w:val="15"/>
    <w:uiPriority w:val="0"/>
  </w:style>
  <w:style w:type="paragraph" w:customStyle="1" w:styleId="36">
    <w:name w:val="Figure"/>
    <w:basedOn w:val="1"/>
    <w:uiPriority w:val="0"/>
  </w:style>
  <w:style w:type="paragraph" w:customStyle="1" w:styleId="37">
    <w:name w:val="Captioned Figure"/>
    <w:basedOn w:val="36"/>
    <w:uiPriority w:val="0"/>
    <w:pPr>
      <w:keepNext/>
    </w:pPr>
  </w:style>
  <w:style w:type="character" w:customStyle="1" w:styleId="38">
    <w:name w:val="Verbatim Char"/>
    <w:basedOn w:val="19"/>
    <w:link w:val="39"/>
    <w:uiPriority w:val="0"/>
    <w:rPr>
      <w:rFonts w:ascii="Consolas" w:hAnsi="Consolas"/>
      <w:sz w:val="22"/>
    </w:rPr>
  </w:style>
  <w:style w:type="paragraph" w:customStyle="1" w:styleId="39">
    <w:name w:val="Source Code"/>
    <w:basedOn w:val="1"/>
    <w:link w:val="38"/>
    <w:uiPriority w:val="0"/>
    <w:pPr>
      <w:wordWrap w:val="0"/>
    </w:pPr>
  </w:style>
  <w:style w:type="character" w:customStyle="1" w:styleId="40">
    <w:name w:val="Section Number"/>
    <w:basedOn w:val="19"/>
    <w:uiPriority w:val="0"/>
  </w:style>
  <w:style w:type="paragraph" w:customStyle="1" w:styleId="41">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2">
    <w:name w:val="KeywordTok"/>
    <w:basedOn w:val="38"/>
    <w:uiPriority w:val="0"/>
    <w:rPr>
      <w:b/>
      <w:color w:val="007020"/>
    </w:rPr>
  </w:style>
  <w:style w:type="character" w:customStyle="1" w:styleId="43">
    <w:name w:val="DataTypeTok"/>
    <w:basedOn w:val="38"/>
    <w:uiPriority w:val="0"/>
    <w:rPr>
      <w:color w:val="902000"/>
    </w:rPr>
  </w:style>
  <w:style w:type="character" w:customStyle="1" w:styleId="44">
    <w:name w:val="DecValTok"/>
    <w:basedOn w:val="38"/>
    <w:uiPriority w:val="0"/>
    <w:rPr>
      <w:color w:val="40A070"/>
    </w:rPr>
  </w:style>
  <w:style w:type="character" w:customStyle="1" w:styleId="45">
    <w:name w:val="BaseNTok"/>
    <w:basedOn w:val="38"/>
    <w:uiPriority w:val="0"/>
    <w:rPr>
      <w:color w:val="40A070"/>
    </w:rPr>
  </w:style>
  <w:style w:type="character" w:customStyle="1" w:styleId="46">
    <w:name w:val="FloatTok"/>
    <w:basedOn w:val="38"/>
    <w:uiPriority w:val="0"/>
    <w:rPr>
      <w:color w:val="40A070"/>
    </w:rPr>
  </w:style>
  <w:style w:type="character" w:customStyle="1" w:styleId="47">
    <w:name w:val="ConstantTok"/>
    <w:basedOn w:val="38"/>
    <w:uiPriority w:val="0"/>
    <w:rPr>
      <w:color w:val="880000"/>
    </w:rPr>
  </w:style>
  <w:style w:type="character" w:customStyle="1" w:styleId="48">
    <w:name w:val="CharTok"/>
    <w:basedOn w:val="38"/>
    <w:uiPriority w:val="0"/>
    <w:rPr>
      <w:color w:val="4070A0"/>
    </w:rPr>
  </w:style>
  <w:style w:type="character" w:customStyle="1" w:styleId="49">
    <w:name w:val="SpecialCharTok"/>
    <w:basedOn w:val="38"/>
    <w:uiPriority w:val="0"/>
    <w:rPr>
      <w:color w:val="4070A0"/>
    </w:rPr>
  </w:style>
  <w:style w:type="character" w:customStyle="1" w:styleId="50">
    <w:name w:val="StringTok"/>
    <w:basedOn w:val="38"/>
    <w:uiPriority w:val="0"/>
    <w:rPr>
      <w:color w:val="4070A0"/>
    </w:rPr>
  </w:style>
  <w:style w:type="character" w:customStyle="1" w:styleId="51">
    <w:name w:val="VerbatimStringTok"/>
    <w:basedOn w:val="38"/>
    <w:uiPriority w:val="0"/>
    <w:rPr>
      <w:color w:val="4070A0"/>
    </w:rPr>
  </w:style>
  <w:style w:type="character" w:customStyle="1" w:styleId="52">
    <w:name w:val="SpecialStringTok"/>
    <w:basedOn w:val="38"/>
    <w:uiPriority w:val="0"/>
    <w:rPr>
      <w:color w:val="BB6688"/>
    </w:rPr>
  </w:style>
  <w:style w:type="character" w:customStyle="1" w:styleId="53">
    <w:name w:val="ImportTok"/>
    <w:basedOn w:val="38"/>
    <w:uiPriority w:val="0"/>
    <w:rPr>
      <w:b/>
      <w:color w:val="008000"/>
    </w:rPr>
  </w:style>
  <w:style w:type="character" w:customStyle="1" w:styleId="54">
    <w:name w:val="CommentTok"/>
    <w:basedOn w:val="38"/>
    <w:uiPriority w:val="0"/>
    <w:rPr>
      <w:i/>
      <w:color w:val="60A0B0"/>
    </w:rPr>
  </w:style>
  <w:style w:type="character" w:customStyle="1" w:styleId="55">
    <w:name w:val="DocumentationTok"/>
    <w:basedOn w:val="38"/>
    <w:uiPriority w:val="0"/>
    <w:rPr>
      <w:i/>
      <w:color w:val="BA2121"/>
    </w:rPr>
  </w:style>
  <w:style w:type="character" w:customStyle="1" w:styleId="56">
    <w:name w:val="AnnotationTok"/>
    <w:basedOn w:val="38"/>
    <w:uiPriority w:val="0"/>
    <w:rPr>
      <w:b/>
      <w:i/>
      <w:color w:val="60A0B0"/>
    </w:rPr>
  </w:style>
  <w:style w:type="character" w:customStyle="1" w:styleId="57">
    <w:name w:val="CommentVarTok"/>
    <w:basedOn w:val="38"/>
    <w:uiPriority w:val="0"/>
    <w:rPr>
      <w:b/>
      <w:i/>
      <w:color w:val="60A0B0"/>
    </w:rPr>
  </w:style>
  <w:style w:type="character" w:customStyle="1" w:styleId="58">
    <w:name w:val="OtherTok"/>
    <w:basedOn w:val="38"/>
    <w:uiPriority w:val="0"/>
    <w:rPr>
      <w:color w:val="007020"/>
    </w:rPr>
  </w:style>
  <w:style w:type="character" w:customStyle="1" w:styleId="59">
    <w:name w:val="FunctionTok"/>
    <w:basedOn w:val="38"/>
    <w:uiPriority w:val="0"/>
    <w:rPr>
      <w:color w:val="06287E"/>
    </w:rPr>
  </w:style>
  <w:style w:type="character" w:customStyle="1" w:styleId="60">
    <w:name w:val="VariableTok"/>
    <w:basedOn w:val="38"/>
    <w:uiPriority w:val="0"/>
    <w:rPr>
      <w:color w:val="19177C"/>
    </w:rPr>
  </w:style>
  <w:style w:type="character" w:customStyle="1" w:styleId="61">
    <w:name w:val="ControlFlowTok"/>
    <w:basedOn w:val="38"/>
    <w:uiPriority w:val="0"/>
    <w:rPr>
      <w:b/>
      <w:color w:val="007020"/>
    </w:rPr>
  </w:style>
  <w:style w:type="character" w:customStyle="1" w:styleId="62">
    <w:name w:val="OperatorTok"/>
    <w:basedOn w:val="38"/>
    <w:uiPriority w:val="0"/>
    <w:rPr>
      <w:color w:val="666666"/>
    </w:rPr>
  </w:style>
  <w:style w:type="character" w:customStyle="1" w:styleId="63">
    <w:name w:val="BuiltInTok"/>
    <w:basedOn w:val="38"/>
    <w:uiPriority w:val="0"/>
    <w:rPr>
      <w:color w:val="008000"/>
    </w:rPr>
  </w:style>
  <w:style w:type="character" w:customStyle="1" w:styleId="64">
    <w:name w:val="ExtensionTok"/>
    <w:basedOn w:val="38"/>
    <w:uiPriority w:val="0"/>
  </w:style>
  <w:style w:type="character" w:customStyle="1" w:styleId="65">
    <w:name w:val="PreprocessorTok"/>
    <w:basedOn w:val="38"/>
    <w:uiPriority w:val="0"/>
    <w:rPr>
      <w:color w:val="BC7A00"/>
    </w:rPr>
  </w:style>
  <w:style w:type="character" w:customStyle="1" w:styleId="66">
    <w:name w:val="AttributeTok"/>
    <w:basedOn w:val="38"/>
    <w:uiPriority w:val="0"/>
    <w:rPr>
      <w:color w:val="7D9029"/>
    </w:rPr>
  </w:style>
  <w:style w:type="character" w:customStyle="1" w:styleId="67">
    <w:name w:val="RegionMarkerTok"/>
    <w:basedOn w:val="38"/>
    <w:uiPriority w:val="0"/>
  </w:style>
  <w:style w:type="character" w:customStyle="1" w:styleId="68">
    <w:name w:val="InformationTok"/>
    <w:basedOn w:val="38"/>
    <w:uiPriority w:val="0"/>
    <w:rPr>
      <w:b/>
      <w:i/>
      <w:color w:val="60A0B0"/>
    </w:rPr>
  </w:style>
  <w:style w:type="character" w:customStyle="1" w:styleId="69">
    <w:name w:val="WarningTok"/>
    <w:basedOn w:val="38"/>
    <w:uiPriority w:val="0"/>
    <w:rPr>
      <w:b/>
      <w:i/>
      <w:color w:val="60A0B0"/>
    </w:rPr>
  </w:style>
  <w:style w:type="character" w:customStyle="1" w:styleId="70">
    <w:name w:val="AlertTok"/>
    <w:basedOn w:val="38"/>
    <w:uiPriority w:val="0"/>
    <w:rPr>
      <w:b/>
      <w:color w:val="FF0000"/>
    </w:rPr>
  </w:style>
  <w:style w:type="character" w:customStyle="1" w:styleId="71">
    <w:name w:val="ErrorTok"/>
    <w:basedOn w:val="38"/>
    <w:uiPriority w:val="0"/>
    <w:rPr>
      <w:b/>
      <w:color w:val="FF0000"/>
    </w:rPr>
  </w:style>
  <w:style w:type="character" w:customStyle="1" w:styleId="72">
    <w:name w:val="NormalTok"/>
    <w:basedOn w:val="38"/>
    <w:uiPriority w:val="0"/>
  </w:style>
  <w:style w:type="character" w:customStyle="1" w:styleId="73">
    <w:name w:val="Heading 1 Char"/>
    <w:link w:val="2"/>
    <w:uiPriority w:val="9"/>
    <w:rPr>
      <w:rFonts w:asciiTheme="majorHAnsi" w:hAnsiTheme="majorHAnsi" w:eastAsiaTheme="majorEastAsia" w:cstheme="majorBidi"/>
      <w:b/>
      <w:bCs/>
      <w:color w:val="4F81BD" w:themeColor="accent1"/>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83</Words>
  <Characters>475</Characters>
  <Lines>12</Lines>
  <Paragraphs>8</Paragraphs>
  <TotalTime>18</TotalTime>
  <ScaleCrop>false</ScaleCrop>
  <LinksUpToDate>false</LinksUpToDate>
  <CharactersWithSpaces>583</CharactersWithSpaces>
  <Application>WPS Office_12.1.29182.29182_F1E327BC-269C-435d-A152-05C5408002CA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2026-10-23T23:25:00Z</dcterms:created>
  <dc:creator>DOLAPO JOHNSON</dc:creator>
  <cp:lastModifiedBy>DOLAPO JOHNSON</cp:lastModifiedBy>
  <dcterms:modified xsi:type="dcterms:W3CDTF">2026-10-23T23:56:21Z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1033-12.1.29182.29182</vt:lpwstr>
  </property>
  <property fmtid="{D5CDD505-2E9C-101B-9397-08002B2CF9AE}" pid="3" name="ICV">
    <vt:lpwstr>F3844D87BEDFC28415E6DB6A2431C625_43</vt:lpwstr>
  </property>
</Properties>
</file>