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CE33" w14:textId="56302680" w:rsidR="00D5757D" w:rsidRDefault="001D1A24" w:rsidP="00BF32A8">
      <w:pPr>
        <w:spacing w:after="120"/>
        <w:rPr>
          <w:sz w:val="24"/>
          <w:szCs w:val="24"/>
        </w:rPr>
      </w:pPr>
      <w:r w:rsidRPr="00AD55F6">
        <w:rPr>
          <w:noProof/>
        </w:rPr>
        <w:drawing>
          <wp:anchor distT="0" distB="0" distL="114300" distR="114300" simplePos="0" relativeHeight="251658240" behindDoc="0" locked="0" layoutInCell="1" allowOverlap="1" wp14:anchorId="1900F77A" wp14:editId="3A79894D">
            <wp:simplePos x="0" y="0"/>
            <wp:positionH relativeFrom="column">
              <wp:posOffset>4201795</wp:posOffset>
            </wp:positionH>
            <wp:positionV relativeFrom="paragraph">
              <wp:posOffset>1808480</wp:posOffset>
            </wp:positionV>
            <wp:extent cx="1914525" cy="38969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A00">
        <w:rPr>
          <w:b/>
          <w:bCs/>
          <w:sz w:val="24"/>
          <w:szCs w:val="24"/>
          <w:u w:val="single"/>
        </w:rPr>
        <w:t>Socio-Grid Co-simulation (SOCO) Example</w:t>
      </w:r>
      <w:r w:rsidR="008F02A2">
        <w:rPr>
          <w:sz w:val="24"/>
          <w:szCs w:val="24"/>
        </w:rPr>
        <w:t xml:space="preserve">: </w:t>
      </w:r>
      <w:r w:rsidR="004174EF">
        <w:rPr>
          <w:sz w:val="24"/>
          <w:szCs w:val="24"/>
        </w:rPr>
        <w:t xml:space="preserve">This example </w:t>
      </w:r>
      <w:r w:rsidR="008F02A2">
        <w:rPr>
          <w:sz w:val="24"/>
          <w:szCs w:val="24"/>
        </w:rPr>
        <w:t>use</w:t>
      </w:r>
      <w:r w:rsidR="004174EF">
        <w:rPr>
          <w:sz w:val="24"/>
          <w:szCs w:val="24"/>
        </w:rPr>
        <w:t>s</w:t>
      </w:r>
      <w:r w:rsidR="008F02A2">
        <w:rPr>
          <w:sz w:val="24"/>
          <w:szCs w:val="24"/>
        </w:rPr>
        <w:t xml:space="preserve"> </w:t>
      </w:r>
      <w:proofErr w:type="spellStart"/>
      <w:r w:rsidR="008F02A2">
        <w:rPr>
          <w:sz w:val="24"/>
          <w:szCs w:val="24"/>
        </w:rPr>
        <w:t>GridLAB</w:t>
      </w:r>
      <w:proofErr w:type="spellEnd"/>
      <w:r w:rsidR="008F02A2">
        <w:rPr>
          <w:sz w:val="24"/>
          <w:szCs w:val="24"/>
        </w:rPr>
        <w:t xml:space="preserve">-D, HELICS, and a new SOCO Python agent to </w:t>
      </w:r>
      <w:r w:rsidR="004174EF">
        <w:rPr>
          <w:sz w:val="24"/>
          <w:szCs w:val="24"/>
        </w:rPr>
        <w:t>simulate blue-sky conditions and a black-sky event</w:t>
      </w:r>
      <w:r w:rsidR="008F02A2">
        <w:rPr>
          <w:sz w:val="24"/>
          <w:szCs w:val="24"/>
        </w:rPr>
        <w:t xml:space="preserve">. It simulates </w:t>
      </w:r>
      <w:r w:rsidR="00D970DD">
        <w:rPr>
          <w:sz w:val="24"/>
          <w:szCs w:val="24"/>
        </w:rPr>
        <w:t>seven</w:t>
      </w:r>
      <w:r w:rsidR="008F02A2">
        <w:rPr>
          <w:sz w:val="24"/>
          <w:szCs w:val="24"/>
        </w:rPr>
        <w:t xml:space="preserve"> days in August, using typical weather data and end-use load profiles, with realistic impedances that could be estimated from maps</w:t>
      </w:r>
      <w:r w:rsidR="00512D9C">
        <w:rPr>
          <w:sz w:val="24"/>
          <w:szCs w:val="24"/>
        </w:rPr>
        <w:t xml:space="preserve">, </w:t>
      </w:r>
      <w:r w:rsidR="008F02A2">
        <w:rPr>
          <w:sz w:val="24"/>
          <w:szCs w:val="24"/>
        </w:rPr>
        <w:t>field visits</w:t>
      </w:r>
      <w:r w:rsidR="00512D9C">
        <w:rPr>
          <w:sz w:val="24"/>
          <w:szCs w:val="24"/>
        </w:rPr>
        <w:t>, billing data, interviews, etc</w:t>
      </w:r>
      <w:r w:rsidR="008F02A2">
        <w:rPr>
          <w:sz w:val="24"/>
          <w:szCs w:val="24"/>
        </w:rPr>
        <w:t xml:space="preserve">. </w:t>
      </w:r>
      <w:r w:rsidR="0013176D">
        <w:rPr>
          <w:sz w:val="24"/>
          <w:szCs w:val="24"/>
        </w:rPr>
        <w:t xml:space="preserve">The five </w:t>
      </w:r>
      <w:r w:rsidR="00A348D5">
        <w:rPr>
          <w:sz w:val="24"/>
          <w:szCs w:val="24"/>
        </w:rPr>
        <w:t>black-sky</w:t>
      </w:r>
      <w:r w:rsidR="0013176D">
        <w:rPr>
          <w:sz w:val="24"/>
          <w:szCs w:val="24"/>
        </w:rPr>
        <w:t xml:space="preserve"> cases represent a </w:t>
      </w:r>
      <w:r w:rsidR="00D970DD">
        <w:rPr>
          <w:sz w:val="24"/>
          <w:szCs w:val="24"/>
        </w:rPr>
        <w:t>five</w:t>
      </w:r>
      <w:r w:rsidR="0013176D">
        <w:rPr>
          <w:sz w:val="24"/>
          <w:szCs w:val="24"/>
        </w:rPr>
        <w:t xml:space="preserve">-day loss of utility service. </w:t>
      </w:r>
      <w:r w:rsidR="00733575">
        <w:rPr>
          <w:sz w:val="24"/>
          <w:szCs w:val="24"/>
        </w:rPr>
        <w:t>In t</w:t>
      </w:r>
      <w:r w:rsidR="002007BD">
        <w:rPr>
          <w:sz w:val="24"/>
          <w:szCs w:val="24"/>
        </w:rPr>
        <w:t>he baseline</w:t>
      </w:r>
      <w:r w:rsidR="00733575">
        <w:rPr>
          <w:sz w:val="24"/>
          <w:szCs w:val="24"/>
        </w:rPr>
        <w:t>,</w:t>
      </w:r>
      <w:r w:rsidR="002007BD">
        <w:rPr>
          <w:sz w:val="24"/>
          <w:szCs w:val="24"/>
        </w:rPr>
        <w:t xml:space="preserve"> a diesel generator (DG) serve</w:t>
      </w:r>
      <w:r w:rsidR="00733575">
        <w:rPr>
          <w:sz w:val="24"/>
          <w:szCs w:val="24"/>
        </w:rPr>
        <w:t>s</w:t>
      </w:r>
      <w:r w:rsidR="002007BD">
        <w:rPr>
          <w:sz w:val="24"/>
          <w:szCs w:val="24"/>
        </w:rPr>
        <w:t xml:space="preserve"> the hub load</w:t>
      </w:r>
      <w:r w:rsidR="00733575">
        <w:rPr>
          <w:sz w:val="24"/>
          <w:szCs w:val="24"/>
        </w:rPr>
        <w:t xml:space="preserve"> and</w:t>
      </w:r>
      <w:r w:rsidR="002007BD">
        <w:rPr>
          <w:sz w:val="24"/>
          <w:szCs w:val="24"/>
        </w:rPr>
        <w:t xml:space="preserve"> essential home loads, e.g., refrigeration, </w:t>
      </w:r>
      <w:r w:rsidR="00A348D5">
        <w:rPr>
          <w:sz w:val="24"/>
          <w:szCs w:val="24"/>
        </w:rPr>
        <w:t>if</w:t>
      </w:r>
      <w:r w:rsidR="002007BD">
        <w:rPr>
          <w:sz w:val="24"/>
          <w:szCs w:val="24"/>
        </w:rPr>
        <w:t xml:space="preserve"> residents will curtail </w:t>
      </w:r>
      <w:r w:rsidR="00A348D5">
        <w:rPr>
          <w:sz w:val="24"/>
          <w:szCs w:val="24"/>
        </w:rPr>
        <w:t>other</w:t>
      </w:r>
      <w:r w:rsidR="002007BD">
        <w:rPr>
          <w:sz w:val="24"/>
          <w:szCs w:val="24"/>
        </w:rPr>
        <w:t xml:space="preserve"> loads.</w:t>
      </w:r>
      <w:r w:rsidR="00A348D5">
        <w:rPr>
          <w:sz w:val="24"/>
          <w:szCs w:val="24"/>
        </w:rPr>
        <w:t xml:space="preserve"> A larger PV helps with decarbonization and local environmental goals. The battery energy storage system (BESS) has a small effect on DPM, by reducing overall losses. </w:t>
      </w:r>
      <w:r w:rsidR="00D362DA">
        <w:rPr>
          <w:sz w:val="24"/>
          <w:szCs w:val="24"/>
        </w:rPr>
        <w:t>The smaller diesel case c</w:t>
      </w:r>
      <w:r w:rsidR="00D1246E">
        <w:rPr>
          <w:sz w:val="24"/>
          <w:szCs w:val="24"/>
        </w:rPr>
        <w:t>ombin</w:t>
      </w:r>
      <w:r w:rsidR="00D362DA">
        <w:rPr>
          <w:sz w:val="24"/>
          <w:szCs w:val="24"/>
        </w:rPr>
        <w:t xml:space="preserve">es </w:t>
      </w:r>
      <w:r w:rsidR="00D1246E">
        <w:rPr>
          <w:sz w:val="24"/>
          <w:szCs w:val="24"/>
        </w:rPr>
        <w:t>the</w:t>
      </w:r>
      <w:r w:rsidR="00A348D5">
        <w:rPr>
          <w:sz w:val="24"/>
          <w:szCs w:val="24"/>
        </w:rPr>
        <w:t xml:space="preserve"> BESS </w:t>
      </w:r>
      <w:r w:rsidR="00D1246E">
        <w:rPr>
          <w:sz w:val="24"/>
          <w:szCs w:val="24"/>
        </w:rPr>
        <w:t>with</w:t>
      </w:r>
      <w:r w:rsidR="00A348D5">
        <w:rPr>
          <w:sz w:val="24"/>
          <w:szCs w:val="24"/>
        </w:rPr>
        <w:t xml:space="preserve"> extreme load reduction</w:t>
      </w:r>
      <w:r w:rsidR="00D362DA">
        <w:rPr>
          <w:sz w:val="24"/>
          <w:szCs w:val="24"/>
        </w:rPr>
        <w:t xml:space="preserve"> to reduce</w:t>
      </w:r>
      <w:r w:rsidR="00A348D5">
        <w:rPr>
          <w:sz w:val="24"/>
          <w:szCs w:val="24"/>
        </w:rPr>
        <w:t xml:space="preserve"> </w:t>
      </w:r>
      <w:r w:rsidR="00D362DA">
        <w:rPr>
          <w:sz w:val="24"/>
          <w:szCs w:val="24"/>
        </w:rPr>
        <w:t xml:space="preserve">the </w:t>
      </w:r>
      <w:r w:rsidR="00A348D5">
        <w:rPr>
          <w:sz w:val="24"/>
          <w:szCs w:val="24"/>
        </w:rPr>
        <w:t>DG energy to near zero.</w:t>
      </w:r>
      <w:r w:rsidR="00152A58">
        <w:rPr>
          <w:sz w:val="24"/>
          <w:szCs w:val="24"/>
        </w:rPr>
        <w:t xml:space="preserve"> </w:t>
      </w:r>
    </w:p>
    <w:p w14:paraId="4EF6B417" w14:textId="44B3BD97" w:rsidR="002C2867" w:rsidRDefault="00563B04" w:rsidP="002C2867">
      <w:pPr>
        <w:rPr>
          <w:sz w:val="24"/>
          <w:szCs w:val="24"/>
        </w:rPr>
      </w:pPr>
      <w:r w:rsidRPr="00563B04">
        <w:rPr>
          <w:sz w:val="24"/>
          <w:szCs w:val="24"/>
        </w:rPr>
        <w:t xml:space="preserve"> </w:t>
      </w:r>
      <w:r w:rsidRPr="00563B04">
        <w:rPr>
          <w:noProof/>
        </w:rPr>
        <w:drawing>
          <wp:inline distT="0" distB="0" distL="0" distR="0" wp14:anchorId="4D1FD622" wp14:editId="0280171D">
            <wp:extent cx="3772767" cy="1240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552" cy="125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A06">
        <w:rPr>
          <w:sz w:val="24"/>
          <w:szCs w:val="24"/>
        </w:rPr>
        <w:t xml:space="preserve"> </w:t>
      </w:r>
    </w:p>
    <w:p w14:paraId="243607A8" w14:textId="1E38E053" w:rsidR="00281B30" w:rsidRPr="00C91CB4" w:rsidRDefault="009E42A7" w:rsidP="002C28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2862E" wp14:editId="3978B805">
            <wp:extent cx="3858986" cy="2384655"/>
            <wp:effectExtent l="0" t="0" r="8255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924" cy="23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084" w14:textId="739746DB" w:rsidR="00183294" w:rsidRDefault="00183294" w:rsidP="00BF32A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plot shows that a large BESS can serve the hub load at hour 48 (midnight), but not at hour 96 because PV output </w:t>
      </w:r>
      <w:r w:rsidR="00926EF1">
        <w:rPr>
          <w:sz w:val="24"/>
          <w:szCs w:val="24"/>
        </w:rPr>
        <w:t>couldn’t</w:t>
      </w:r>
      <w:r>
        <w:rPr>
          <w:sz w:val="24"/>
          <w:szCs w:val="24"/>
        </w:rPr>
        <w:t xml:space="preserve"> recharge the BESS on days 3 and 4. The BESS charge recovers by hour 168.</w:t>
      </w:r>
      <w:r w:rsidR="00D90AF8">
        <w:rPr>
          <w:sz w:val="24"/>
          <w:szCs w:val="24"/>
        </w:rPr>
        <w:t xml:space="preserve"> </w:t>
      </w:r>
      <w:r w:rsidR="00926EF1">
        <w:rPr>
          <w:sz w:val="24"/>
          <w:szCs w:val="24"/>
        </w:rPr>
        <w:t>G</w:t>
      </w:r>
      <w:r w:rsidR="00D90AF8">
        <w:rPr>
          <w:sz w:val="24"/>
          <w:szCs w:val="24"/>
        </w:rPr>
        <w:t>ranular load modeling supports ties to other infrastructure layers and many more equity metrics.</w:t>
      </w:r>
      <w:r w:rsidR="00E62CDD">
        <w:rPr>
          <w:sz w:val="24"/>
          <w:szCs w:val="24"/>
        </w:rPr>
        <w:t xml:space="preserve"> The Python agent handles load prioritization, behavior, and resource dispatch.</w:t>
      </w:r>
    </w:p>
    <w:p w14:paraId="68F1A71B" w14:textId="7C496996" w:rsidR="002C2867" w:rsidRPr="004949AD" w:rsidRDefault="00183294" w:rsidP="002C2867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SOCO applies to </w:t>
      </w:r>
      <w:r w:rsidR="00250E68">
        <w:rPr>
          <w:sz w:val="24"/>
          <w:szCs w:val="24"/>
        </w:rPr>
        <w:t xml:space="preserve">design of a single resilience hub. </w:t>
      </w:r>
      <w:r w:rsidR="0052537A">
        <w:rPr>
          <w:sz w:val="24"/>
          <w:szCs w:val="24"/>
        </w:rPr>
        <w:t xml:space="preserve">The Sandia/NREL tool called </w:t>
      </w:r>
      <w:proofErr w:type="spellStart"/>
      <w:r w:rsidR="00250E68">
        <w:rPr>
          <w:sz w:val="24"/>
          <w:szCs w:val="24"/>
        </w:rPr>
        <w:t>ReNCAL</w:t>
      </w:r>
      <w:proofErr w:type="spellEnd"/>
      <w:r w:rsidR="00250E68">
        <w:rPr>
          <w:sz w:val="24"/>
          <w:szCs w:val="24"/>
        </w:rPr>
        <w:t xml:space="preserve"> applies to optimization of a cluster of hubs, e.g., 22 </w:t>
      </w:r>
      <w:r w:rsidR="00D80050">
        <w:rPr>
          <w:sz w:val="24"/>
          <w:szCs w:val="24"/>
        </w:rPr>
        <w:t>hub</w:t>
      </w:r>
      <w:r w:rsidR="00250E68">
        <w:rPr>
          <w:sz w:val="24"/>
          <w:szCs w:val="24"/>
        </w:rPr>
        <w:t xml:space="preserve">s for New Orleans to 80 </w:t>
      </w:r>
      <w:r w:rsidR="00D80050">
        <w:rPr>
          <w:sz w:val="24"/>
          <w:szCs w:val="24"/>
        </w:rPr>
        <w:t>hub</w:t>
      </w:r>
      <w:r w:rsidR="00250E68">
        <w:rPr>
          <w:sz w:val="24"/>
          <w:szCs w:val="24"/>
        </w:rPr>
        <w:t>s for Puerto Rico</w:t>
      </w:r>
      <w:r w:rsidR="0052537A">
        <w:rPr>
          <w:sz w:val="24"/>
          <w:szCs w:val="24"/>
        </w:rPr>
        <w:t xml:space="preserve"> (</w:t>
      </w:r>
      <w:hyperlink r:id="rId10" w:history="1">
        <w:r w:rsidR="0052537A" w:rsidRPr="001E1FDE">
          <w:rPr>
            <w:rStyle w:val="Hyperlink"/>
            <w:sz w:val="24"/>
            <w:szCs w:val="24"/>
          </w:rPr>
          <w:t>https://www.osti.gov/servlets/purl/1880920</w:t>
        </w:r>
      </w:hyperlink>
      <w:r w:rsidR="0052537A">
        <w:rPr>
          <w:sz w:val="24"/>
          <w:szCs w:val="24"/>
        </w:rPr>
        <w:t>)</w:t>
      </w:r>
      <w:r w:rsidR="00250E68">
        <w:rPr>
          <w:sz w:val="24"/>
          <w:szCs w:val="24"/>
        </w:rPr>
        <w:t xml:space="preserve">. SOCO details the “zero-distance effort” term in (4) of </w:t>
      </w:r>
      <w:hyperlink r:id="rId11" w:history="1">
        <w:r w:rsidRPr="009003DF">
          <w:rPr>
            <w:rStyle w:val="Hyperlink"/>
            <w:sz w:val="24"/>
            <w:szCs w:val="24"/>
          </w:rPr>
          <w:t>https://doi.org/10.2172/1846088</w:t>
        </w:r>
      </w:hyperlink>
      <w:r w:rsidR="004949AD" w:rsidRPr="004949AD">
        <w:rPr>
          <w:rStyle w:val="Hyperlink"/>
          <w:color w:val="000000" w:themeColor="text1"/>
          <w:sz w:val="24"/>
          <w:szCs w:val="24"/>
          <w:u w:val="none"/>
        </w:rPr>
        <w:t xml:space="preserve">, and offers customization of the social burden calculation. </w:t>
      </w:r>
      <w:r w:rsidR="008A23AE">
        <w:rPr>
          <w:rStyle w:val="Hyperlink"/>
          <w:color w:val="000000" w:themeColor="text1"/>
          <w:sz w:val="24"/>
          <w:szCs w:val="24"/>
          <w:u w:val="none"/>
        </w:rPr>
        <w:t>As a possible extension to SOCO, t</w:t>
      </w:r>
      <w:r w:rsidR="004949AD" w:rsidRPr="004949AD">
        <w:rPr>
          <w:rStyle w:val="Hyperlink"/>
          <w:color w:val="000000" w:themeColor="text1"/>
          <w:sz w:val="24"/>
          <w:szCs w:val="24"/>
          <w:u w:val="none"/>
        </w:rPr>
        <w:t xml:space="preserve">he “pairwise efforts” </w:t>
      </w:r>
      <w:r w:rsidR="008A23AE">
        <w:rPr>
          <w:rStyle w:val="Hyperlink"/>
          <w:color w:val="000000" w:themeColor="text1"/>
          <w:sz w:val="24"/>
          <w:szCs w:val="24"/>
          <w:u w:val="none"/>
        </w:rPr>
        <w:t xml:space="preserve">of </w:t>
      </w:r>
      <w:proofErr w:type="spellStart"/>
      <w:r w:rsidR="008A23AE">
        <w:rPr>
          <w:rStyle w:val="Hyperlink"/>
          <w:color w:val="000000" w:themeColor="text1"/>
          <w:sz w:val="24"/>
          <w:szCs w:val="24"/>
          <w:u w:val="none"/>
        </w:rPr>
        <w:t>ReNCAL</w:t>
      </w:r>
      <w:proofErr w:type="spellEnd"/>
      <w:r w:rsidR="008A23AE">
        <w:rPr>
          <w:rStyle w:val="Hyperlink"/>
          <w:color w:val="000000" w:themeColor="text1"/>
          <w:sz w:val="24"/>
          <w:szCs w:val="24"/>
          <w:u w:val="none"/>
        </w:rPr>
        <w:t xml:space="preserve"> </w:t>
      </w:r>
      <w:r w:rsidR="004949AD" w:rsidRPr="004949AD">
        <w:rPr>
          <w:rStyle w:val="Hyperlink"/>
          <w:color w:val="000000" w:themeColor="text1"/>
          <w:sz w:val="24"/>
          <w:szCs w:val="24"/>
          <w:u w:val="none"/>
        </w:rPr>
        <w:t>are simpler to evaluate for one hub per community</w:t>
      </w:r>
      <w:r w:rsidR="008A23AE">
        <w:rPr>
          <w:rStyle w:val="Hyperlink"/>
          <w:color w:val="000000" w:themeColor="text1"/>
          <w:sz w:val="24"/>
          <w:szCs w:val="24"/>
          <w:u w:val="none"/>
        </w:rPr>
        <w:t>.</w:t>
      </w:r>
    </w:p>
    <w:sectPr w:rsidR="002C2867" w:rsidRPr="004949A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4C57" w14:textId="77777777" w:rsidR="00096747" w:rsidRDefault="00096747" w:rsidP="006220CE">
      <w:pPr>
        <w:spacing w:after="0" w:line="240" w:lineRule="auto"/>
      </w:pPr>
      <w:r>
        <w:separator/>
      </w:r>
    </w:p>
  </w:endnote>
  <w:endnote w:type="continuationSeparator" w:id="0">
    <w:p w14:paraId="5AAB7F2A" w14:textId="77777777" w:rsidR="00096747" w:rsidRDefault="00096747" w:rsidP="0062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6302" w14:textId="03E80959" w:rsidR="006220CE" w:rsidRPr="006220CE" w:rsidRDefault="006220CE" w:rsidP="006220CE">
    <w:pPr>
      <w:pStyle w:val="Footer"/>
      <w:jc w:val="center"/>
      <w:rPr>
        <w:sz w:val="24"/>
        <w:szCs w:val="24"/>
      </w:rPr>
    </w:pPr>
    <w:r w:rsidRPr="006220CE">
      <w:rPr>
        <w:sz w:val="24"/>
        <w:szCs w:val="24"/>
      </w:rPr>
      <w:fldChar w:fldCharType="begin"/>
    </w:r>
    <w:r w:rsidRPr="006220CE">
      <w:rPr>
        <w:sz w:val="24"/>
        <w:szCs w:val="24"/>
      </w:rPr>
      <w:instrText xml:space="preserve"> PAGE   \* MERGEFORMAT </w:instrText>
    </w:r>
    <w:r w:rsidRPr="006220CE">
      <w:rPr>
        <w:sz w:val="24"/>
        <w:szCs w:val="24"/>
      </w:rPr>
      <w:fldChar w:fldCharType="separate"/>
    </w:r>
    <w:r w:rsidRPr="006220CE">
      <w:rPr>
        <w:noProof/>
        <w:sz w:val="24"/>
        <w:szCs w:val="24"/>
      </w:rPr>
      <w:t>1</w:t>
    </w:r>
    <w:r w:rsidRPr="006220CE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C94E0" w14:textId="77777777" w:rsidR="00096747" w:rsidRDefault="00096747" w:rsidP="006220CE">
      <w:pPr>
        <w:spacing w:after="0" w:line="240" w:lineRule="auto"/>
      </w:pPr>
      <w:r>
        <w:separator/>
      </w:r>
    </w:p>
  </w:footnote>
  <w:footnote w:type="continuationSeparator" w:id="0">
    <w:p w14:paraId="4649C78D" w14:textId="77777777" w:rsidR="00096747" w:rsidRDefault="00096747" w:rsidP="0062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48EA" w14:textId="77777777" w:rsidR="006220CE" w:rsidRDefault="00622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D96"/>
    <w:multiLevelType w:val="hybridMultilevel"/>
    <w:tmpl w:val="5B5E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7"/>
    <w:rsid w:val="00012A21"/>
    <w:rsid w:val="00096747"/>
    <w:rsid w:val="000D35A6"/>
    <w:rsid w:val="000F0173"/>
    <w:rsid w:val="00127E54"/>
    <w:rsid w:val="0013176D"/>
    <w:rsid w:val="00152A58"/>
    <w:rsid w:val="00156851"/>
    <w:rsid w:val="00167F62"/>
    <w:rsid w:val="00183294"/>
    <w:rsid w:val="001C2A71"/>
    <w:rsid w:val="001D1A24"/>
    <w:rsid w:val="002007BD"/>
    <w:rsid w:val="00250E68"/>
    <w:rsid w:val="00281B30"/>
    <w:rsid w:val="002A0FE0"/>
    <w:rsid w:val="002C2867"/>
    <w:rsid w:val="002F4874"/>
    <w:rsid w:val="00305B71"/>
    <w:rsid w:val="0032049B"/>
    <w:rsid w:val="0033568A"/>
    <w:rsid w:val="003E493C"/>
    <w:rsid w:val="004174EF"/>
    <w:rsid w:val="00422F13"/>
    <w:rsid w:val="00440657"/>
    <w:rsid w:val="00461286"/>
    <w:rsid w:val="00480A06"/>
    <w:rsid w:val="0049489A"/>
    <w:rsid w:val="004949AD"/>
    <w:rsid w:val="004E3FFD"/>
    <w:rsid w:val="00512D9C"/>
    <w:rsid w:val="0052537A"/>
    <w:rsid w:val="00563B04"/>
    <w:rsid w:val="0057734E"/>
    <w:rsid w:val="005A713F"/>
    <w:rsid w:val="005A7AB6"/>
    <w:rsid w:val="005B4CA3"/>
    <w:rsid w:val="005C608C"/>
    <w:rsid w:val="005D05DD"/>
    <w:rsid w:val="005F4F4B"/>
    <w:rsid w:val="00600A00"/>
    <w:rsid w:val="00613B4D"/>
    <w:rsid w:val="006220CE"/>
    <w:rsid w:val="006258E5"/>
    <w:rsid w:val="0063197F"/>
    <w:rsid w:val="00636417"/>
    <w:rsid w:val="006634C0"/>
    <w:rsid w:val="00665F73"/>
    <w:rsid w:val="0068069A"/>
    <w:rsid w:val="00696BC0"/>
    <w:rsid w:val="006B1D0D"/>
    <w:rsid w:val="00705B1B"/>
    <w:rsid w:val="0070696B"/>
    <w:rsid w:val="0072289B"/>
    <w:rsid w:val="007310AA"/>
    <w:rsid w:val="00733575"/>
    <w:rsid w:val="00780DB0"/>
    <w:rsid w:val="00781971"/>
    <w:rsid w:val="007851DA"/>
    <w:rsid w:val="007B41D2"/>
    <w:rsid w:val="007D2D6C"/>
    <w:rsid w:val="008108AD"/>
    <w:rsid w:val="00823255"/>
    <w:rsid w:val="008976B1"/>
    <w:rsid w:val="008A23AE"/>
    <w:rsid w:val="008F02A2"/>
    <w:rsid w:val="00926EF1"/>
    <w:rsid w:val="00947EA6"/>
    <w:rsid w:val="009A0A34"/>
    <w:rsid w:val="009E42A7"/>
    <w:rsid w:val="00A348D5"/>
    <w:rsid w:val="00A5234F"/>
    <w:rsid w:val="00A55085"/>
    <w:rsid w:val="00A945ED"/>
    <w:rsid w:val="00AA68D2"/>
    <w:rsid w:val="00AD55F6"/>
    <w:rsid w:val="00B14A0B"/>
    <w:rsid w:val="00B47D55"/>
    <w:rsid w:val="00BB3204"/>
    <w:rsid w:val="00BF32A8"/>
    <w:rsid w:val="00C315F8"/>
    <w:rsid w:val="00C82A24"/>
    <w:rsid w:val="00C91CB4"/>
    <w:rsid w:val="00C9519E"/>
    <w:rsid w:val="00CF05EF"/>
    <w:rsid w:val="00D1246E"/>
    <w:rsid w:val="00D362DA"/>
    <w:rsid w:val="00D53F9D"/>
    <w:rsid w:val="00D5757D"/>
    <w:rsid w:val="00D57D12"/>
    <w:rsid w:val="00D6438C"/>
    <w:rsid w:val="00D747FA"/>
    <w:rsid w:val="00D80050"/>
    <w:rsid w:val="00D90AF8"/>
    <w:rsid w:val="00D970DD"/>
    <w:rsid w:val="00DC2B57"/>
    <w:rsid w:val="00DC6A82"/>
    <w:rsid w:val="00DD3F31"/>
    <w:rsid w:val="00E1007F"/>
    <w:rsid w:val="00E2601C"/>
    <w:rsid w:val="00E40A2D"/>
    <w:rsid w:val="00E450F1"/>
    <w:rsid w:val="00E62CDD"/>
    <w:rsid w:val="00EA74C9"/>
    <w:rsid w:val="00EC21BB"/>
    <w:rsid w:val="00ED567C"/>
    <w:rsid w:val="00F35B96"/>
    <w:rsid w:val="00F5065A"/>
    <w:rsid w:val="00FA4870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C4DC"/>
  <w15:chartTrackingRefBased/>
  <w15:docId w15:val="{58DD747F-4424-4486-B533-DCD2CF84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0CE"/>
  </w:style>
  <w:style w:type="paragraph" w:styleId="Footer">
    <w:name w:val="footer"/>
    <w:basedOn w:val="Normal"/>
    <w:link w:val="FooterChar"/>
    <w:uiPriority w:val="99"/>
    <w:unhideWhenUsed/>
    <w:rsid w:val="00622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0CE"/>
  </w:style>
  <w:style w:type="character" w:styleId="Hyperlink">
    <w:name w:val="Hyperlink"/>
    <w:basedOn w:val="DefaultParagraphFont"/>
    <w:uiPriority w:val="99"/>
    <w:unhideWhenUsed/>
    <w:rsid w:val="00156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0F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0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2E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72/184608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sti.gov/servlets/purl/18809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McDermott, Thomas E</dc:creator>
  <cp:keywords/>
  <dc:description/>
  <cp:lastModifiedBy>McDermott, Thomas E</cp:lastModifiedBy>
  <cp:revision>7</cp:revision>
  <dcterms:created xsi:type="dcterms:W3CDTF">2022-08-25T20:20:00Z</dcterms:created>
  <dcterms:modified xsi:type="dcterms:W3CDTF">2022-08-25T20:25:00Z</dcterms:modified>
</cp:coreProperties>
</file>