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rPr>
          <w:bCs/>
          <w:b/>
        </w:rPr>
        <w:t xml:space="preserve">Validation of a Gamified Measure of Processing Speed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Dominique Makowski</w:t>
      </w:r>
    </w:p>
    <w:p>
      <w:pPr>
        <w:pStyle w:val="Author"/>
      </w:pPr>
      <w:r>
        <w:t xml:space="preserve">School of Psychology, University of Sussex</w:t>
      </w:r>
    </w:p>
    <w:p>
      <w:pPr>
        <w:pStyle w:val="Author"/>
      </w:pPr>
      <w:r>
        <w:t xml:space="preserve">Sussex Centre for Consciousness Science, University of Sussex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Dominique Makowski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http://orcid.org/0000-0001-5375-9967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Cs/>
          <w:i/>
        </w:rPr>
        <w:t xml:space="preserve">Dominique Makowski</w:t>
      </w:r>
      <w:r>
        <w:rPr>
          <w:bCs/>
          <w:b/>
        </w:rPr>
        <w:t xml:space="preserve">: </w:t>
      </w:r>
      <w:r>
        <w:t xml:space="preserve">TO DO</w:t>
      </w:r>
    </w:p>
    <w:p>
      <w:pPr>
        <w:pStyle w:val="BodyText"/>
      </w:pPr>
      <w:r>
        <w:t xml:space="preserve">Correspondence concerning this article should be addressed to Dominique Makowski, School of Psychology, University of Sussex, Brighton BN1 9RH, UK, Email: D.Makowski@sussex.ac.uk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6"/>
    <w:bookmarkStart w:id="35" w:name="firstheader"/>
    <w:p>
      <w:pPr>
        <w:pStyle w:val="Heading1"/>
      </w:pPr>
      <w:r>
        <w:rPr>
          <w:bCs/>
          <w:b/>
        </w:rPr>
        <w:t xml:space="preserve">Validation of a Gamified Measure of Processing Speed</w:t>
      </w:r>
    </w:p>
    <w:bookmarkStart w:id="27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☐ Processing speed</w:t>
      </w:r>
    </w:p>
    <w:p>
      <w:pPr>
        <w:numPr>
          <w:ilvl w:val="1"/>
          <w:numId w:val="1002"/>
        </w:numPr>
        <w:pStyle w:val="Compact"/>
      </w:pPr>
      <w:r>
        <w:t xml:space="preserve">☐ SRT</w:t>
      </w:r>
    </w:p>
    <w:p>
      <w:pPr>
        <w:numPr>
          <w:ilvl w:val="0"/>
          <w:numId w:val="1001"/>
        </w:numPr>
        <w:pStyle w:val="Compact"/>
      </w:pPr>
      <w:r>
        <w:t xml:space="preserve">☐ Gamification</w:t>
      </w:r>
    </w:p>
    <w:bookmarkEnd w:id="27"/>
    <w:bookmarkStart w:id="32" w:name="methods"/>
    <w:p>
      <w:pPr>
        <w:pStyle w:val="Heading2"/>
      </w:pPr>
      <w:r>
        <w:t xml:space="preserve">Methods</w:t>
      </w:r>
    </w:p>
    <w:bookmarkStart w:id="28" w:name="participants"/>
    <w:p>
      <w:pPr>
        <w:pStyle w:val="Heading3"/>
      </w:pPr>
      <w:r>
        <w:t xml:space="preserve">Participants</w:t>
      </w:r>
    </w:p>
    <w:p>
      <w:pPr>
        <w:numPr>
          <w:ilvl w:val="0"/>
          <w:numId w:val="1003"/>
        </w:numPr>
        <w:pStyle w:val="Compact"/>
      </w:pPr>
      <w:r>
        <w:t xml:space="preserve">☐ Recruitment</w:t>
      </w:r>
    </w:p>
    <w:p>
      <w:pPr>
        <w:numPr>
          <w:ilvl w:val="0"/>
          <w:numId w:val="1003"/>
        </w:numPr>
        <w:pStyle w:val="Compact"/>
      </w:pPr>
      <w:r>
        <w:t xml:space="preserve">☐ Exclusions</w:t>
      </w:r>
    </w:p>
    <w:p>
      <w:pPr>
        <w:numPr>
          <w:ilvl w:val="0"/>
          <w:numId w:val="1003"/>
        </w:numPr>
        <w:pStyle w:val="Compact"/>
      </w:pPr>
      <w:r>
        <w:t xml:space="preserve">☐ Demographics</w:t>
      </w:r>
    </w:p>
    <w:p>
      <w:pPr>
        <w:numPr>
          <w:ilvl w:val="0"/>
          <w:numId w:val="1003"/>
        </w:numPr>
        <w:pStyle w:val="Compact"/>
      </w:pPr>
      <w:r>
        <w:t xml:space="preserve">☐ Consent</w:t>
      </w:r>
    </w:p>
    <w:p>
      <w:pPr>
        <w:numPr>
          <w:ilvl w:val="0"/>
          <w:numId w:val="1003"/>
        </w:numPr>
        <w:pStyle w:val="Compact"/>
      </w:pPr>
      <w:r>
        <w:t xml:space="preserve">☐ Approval</w:t>
      </w:r>
    </w:p>
    <w:p>
      <w:pPr>
        <w:pStyle w:val="FirstParagraph"/>
      </w:pPr>
      <w:r>
        <w:t xml:space="preserve">Participants were recruited online via the University of Sussex participant pool in ___ for credits. [inclusion criteria/consent]. N participants were originally ___ [exclusions] the final sample consisted of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participants aged</w:t>
      </w:r>
      <w:r>
        <w:t xml:space="preserve"> </w:t>
      </w:r>
      <w:r>
        <w:rPr>
          <w:bCs/>
          <w:b/>
        </w:rPr>
        <w:t xml:space="preserve">lower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upper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X</w:t>
      </w:r>
      <w:r>
        <w:t xml:space="preserve">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X</w:t>
      </w:r>
      <w:r>
        <w:t xml:space="preserve">). [demographics]. Participants provided informed consent at the beginning of the experiment, and could leave the experiment at any time - data was saved at the end of the study after debrief.</w:t>
      </w:r>
    </w:p>
    <w:bookmarkEnd w:id="28"/>
    <w:bookmarkStart w:id="29" w:name="measures"/>
    <w:p>
      <w:pPr>
        <w:pStyle w:val="Heading3"/>
      </w:pPr>
      <w:r>
        <w:t xml:space="preserve">Measures</w:t>
      </w:r>
    </w:p>
    <w:p>
      <w:pPr>
        <w:numPr>
          <w:ilvl w:val="0"/>
          <w:numId w:val="1004"/>
        </w:numPr>
        <w:pStyle w:val="Compact"/>
      </w:pPr>
      <w:r>
        <w:t xml:space="preserve">☐ RT, accuracy</w:t>
      </w:r>
    </w:p>
    <w:p>
      <w:pPr>
        <w:numPr>
          <w:ilvl w:val="0"/>
          <w:numId w:val="1004"/>
        </w:numPr>
        <w:pStyle w:val="Compact"/>
      </w:pPr>
      <w:r>
        <w:t xml:space="preserve">☐ post-task questions</w:t>
      </w:r>
    </w:p>
    <w:p>
      <w:pPr>
        <w:pStyle w:val="FirstParagraph"/>
      </w:pPr>
      <w:r>
        <w:t xml:space="preserve">Participants completed two computer-based simple reaction time tasks: a gamified version (DoggoNogo) and a non-gamified version (SRT). The order of tasks was counterbalanced across participants. Both tasks involved three blocks with opportunities for breaks in-between. Participants responded using the down arrow on their keyboard.</w:t>
      </w:r>
    </w:p>
    <w:p>
      <w:pPr>
        <w:pStyle w:val="BodyText"/>
      </w:pPr>
      <w:r>
        <w:t xml:space="preserve">After each of the tasks participants responded to the following short questions about their experience:</w:t>
      </w:r>
    </w:p>
    <w:p>
      <w:pPr>
        <w:pStyle w:val="BodyText"/>
      </w:pPr>
      <w:r>
        <w:t xml:space="preserve">“</w:t>
      </w:r>
      <w:r>
        <w:t xml:space="preserve">How much did you enjoy the previous task?</w:t>
      </w:r>
      <w:r>
        <w:t xml:space="preserve">”</w:t>
      </w:r>
      <w:r>
        <w:t xml:space="preserve"> </w:t>
      </w:r>
      <w:r>
        <w:t xml:space="preserve">(8-point scale from</w:t>
      </w:r>
      <w:r>
        <w:t xml:space="preserve"> </w:t>
      </w:r>
      <w:r>
        <w:t xml:space="preserve">‘</w:t>
      </w:r>
      <w:r>
        <w:t xml:space="preserve">boring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fun</w:t>
      </w:r>
      <w:r>
        <w:t xml:space="preserve">’</w:t>
      </w:r>
      <w:r>
        <w:t xml:space="preserve">)</w:t>
      </w:r>
      <w:r>
        <w:t xml:space="preserve"> </w:t>
      </w:r>
      <w:r>
        <w:t xml:space="preserve">“</w:t>
      </w:r>
      <w:r>
        <w:t xml:space="preserve">Without checking the time, how long do you think you spent doing the previous task?</w:t>
      </w:r>
      <w:r>
        <w:t xml:space="preserve">”</w:t>
      </w:r>
      <w:r>
        <w:t xml:space="preserve"> </w:t>
      </w:r>
      <w:r>
        <w:t xml:space="preserve">(minutes)</w:t>
      </w:r>
      <w:r>
        <w:t xml:space="preserve"> </w:t>
      </w:r>
      <w:r>
        <w:t xml:space="preserve">“</w:t>
      </w:r>
      <w:r>
        <w:t xml:space="preserve">How would you feel if you had to do the same task again one more time?</w:t>
      </w:r>
      <w:r>
        <w:t xml:space="preserve">”</w:t>
      </w:r>
      <w:r>
        <w:t xml:space="preserve"> </w:t>
      </w:r>
      <w:r>
        <w:t xml:space="preserve">(9-point scale from</w:t>
      </w:r>
      <w:r>
        <w:t xml:space="preserve"> </w:t>
      </w:r>
      <w:r>
        <w:t xml:space="preserve">‘</w:t>
      </w:r>
      <w:r>
        <w:t xml:space="preserve">Very annoyed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Very happy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Once they had completed both tasks, participants were given an opportunity to provide feedback and rated their overall enjoyment of the experiment.</w:t>
      </w:r>
    </w:p>
    <w:bookmarkEnd w:id="29"/>
    <w:bookmarkStart w:id="30" w:name="doggonogo"/>
    <w:p>
      <w:pPr>
        <w:pStyle w:val="Heading3"/>
      </w:pPr>
      <w:r>
        <w:t xml:space="preserve">DoggoNogo</w:t>
      </w:r>
    </w:p>
    <w:p>
      <w:pPr>
        <w:numPr>
          <w:ilvl w:val="0"/>
          <w:numId w:val="1005"/>
        </w:numPr>
        <w:pStyle w:val="Compact"/>
      </w:pPr>
      <w:r>
        <w:t xml:space="preserve">☐ Development</w:t>
      </w:r>
    </w:p>
    <w:p>
      <w:pPr>
        <w:numPr>
          <w:ilvl w:val="0"/>
          <w:numId w:val="1005"/>
        </w:numPr>
        <w:pStyle w:val="Compact"/>
      </w:pPr>
      <w:r>
        <w:t xml:space="preserve">☐ Layout</w:t>
      </w:r>
    </w:p>
    <w:p>
      <w:pPr>
        <w:numPr>
          <w:ilvl w:val="0"/>
          <w:numId w:val="1005"/>
        </w:numPr>
        <w:pStyle w:val="Compact"/>
      </w:pPr>
      <w:r>
        <w:t xml:space="preserve">☐ Procedure - blocks, trials</w:t>
      </w:r>
    </w:p>
    <w:p>
      <w:pPr>
        <w:numPr>
          <w:ilvl w:val="0"/>
          <w:numId w:val="1005"/>
        </w:numPr>
        <w:pStyle w:val="Compact"/>
      </w:pPr>
      <w:r>
        <w:t xml:space="preserve">☐ Dynamic ISI</w:t>
      </w:r>
    </w:p>
    <w:p>
      <w:pPr>
        <w:numPr>
          <w:ilvl w:val="0"/>
          <w:numId w:val="1005"/>
        </w:numPr>
        <w:pStyle w:val="Compact"/>
      </w:pPr>
      <w:r>
        <w:t xml:space="preserve">☐ Dynamic RT threshold - points system</w:t>
      </w:r>
    </w:p>
    <w:p>
      <w:pPr>
        <w:pStyle w:val="FirstParagraph"/>
      </w:pPr>
      <w:r>
        <w:t xml:space="preserve">DoggoNogo was written in Unity (</w:t>
      </w:r>
      <w:r>
        <w:rPr>
          <w:iCs/>
          <w:i/>
        </w:rPr>
        <w:t xml:space="preserve">ref</w:t>
      </w:r>
      <w:r>
        <w:t xml:space="preserve">)</w:t>
      </w:r>
    </w:p>
    <w:p>
      <w:pPr>
        <w:pStyle w:val="BodyText"/>
      </w:pPr>
      <w:r>
        <w:t xml:space="preserve">The number of trials per block was dependent on participant performance; participants had to obtain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points in each block before proceeding to the next/finishing.</w:t>
      </w:r>
    </w:p>
    <w:p>
      <w:pPr>
        <w:pStyle w:val="BodyText"/>
      </w:pPr>
      <w:r>
        <w:t xml:space="preserve">Dynamic point system - explain</w:t>
      </w:r>
    </w:p>
    <w:p>
      <w:pPr>
        <w:numPr>
          <w:ilvl w:val="0"/>
          <w:numId w:val="1006"/>
        </w:numPr>
        <w:pStyle w:val="Compact"/>
      </w:pPr>
      <w:r>
        <w:t xml:space="preserve">The cumulative median RT serves as a dynamic threshold. If the</w:t>
      </w:r>
    </w:p>
    <w:p>
      <w:pPr>
        <w:pStyle w:val="FirstParagraph"/>
      </w:pPr>
      <w:r>
        <w:t xml:space="preserve">Points were obtained by catching bones, and both success and points scored depend on participant RT relative to their cumulative median RT. Premature responses received -100 points (but total never ____ zero), RTs longer than participant maximums were</w:t>
      </w:r>
      <w:r>
        <w:t xml:space="preserve"> </w:t>
      </w:r>
      <w:r>
        <w:t xml:space="preserve">‘</w:t>
      </w:r>
      <w:r>
        <w:t xml:space="preserve">missed</w:t>
      </w:r>
      <w:r>
        <w:t xml:space="preserve">’</w:t>
      </w:r>
      <w:r>
        <w:t xml:space="preserve"> </w:t>
      </w:r>
      <w:r>
        <w:t xml:space="preserve">and yielded 0 points and RTs longer than participant cumulative medians were</w:t>
      </w:r>
      <w:r>
        <w:t xml:space="preserve"> </w:t>
      </w:r>
      <w:r>
        <w:t xml:space="preserve">‘</w:t>
      </w:r>
      <w:r>
        <w:t xml:space="preserve">slow</w:t>
      </w:r>
      <w:r>
        <w:t xml:space="preserve">’</w:t>
      </w:r>
      <w:r>
        <w:t xml:space="preserve"> </w:t>
      </w:r>
      <w:r>
        <w:t xml:space="preserve">and obtained 0 points. RTs shorter than participant cumulative medians were fast and yielded a score based on the following: RT is clamped to the range between 150ms and double the participants cumulative median RT (</w:t>
      </w:r>
      <m:oMath>
        <m:r>
          <m:t>2</m:t>
        </m:r>
        <m:sSub>
          <m:e>
            <m:r>
              <m:rPr>
                <m:nor/>
                <m:sty m:val="p"/>
              </m:rPr>
              <m:t>RT</m:t>
            </m:r>
          </m:e>
          <m:sub>
            <m:r>
              <m:rPr>
                <m:nor/>
                <m:sty m:val="p"/>
              </m:rPr>
              <m:t>Median</m:t>
            </m:r>
          </m:sub>
        </m:sSub>
      </m:oMath>
      <w:r>
        <w:t xml:space="preserve">), normalised and subtracted from 1. The result is multiplied by the score range (i.e.,</w:t>
      </w:r>
      <w:r>
        <w:t xml:space="preserve"> </w:t>
      </w:r>
      <m:oMath>
        <m:r>
          <m:t>200</m:t>
        </m:r>
        <m:r>
          <m:rPr>
            <m:sty m:val="p"/>
          </m:rPr>
          <m:t>−</m:t>
        </m:r>
        <m:r>
          <m:t>100</m:t>
        </m:r>
        <m:r>
          <m:rPr>
            <m:sty m:val="p"/>
          </m:rPr>
          <m:t>=</m:t>
        </m:r>
        <m:r>
          <m:t>100</m:t>
        </m:r>
      </m:oMath>
      <w:r>
        <w:t xml:space="preserve">) and added to the minimum score (</w:t>
      </w:r>
      <m:oMath>
        <m:r>
          <m:t>100</m:t>
        </m:r>
      </m:oMath>
      <w:r>
        <w:t xml:space="preserve">). This is the participants final score, unless it exceeds 200, in which case the participant obtains 200 points.</w:t>
      </w:r>
    </w:p>
    <w:p>
      <w:pPr>
        <w:pStyle w:val="BodyText"/>
      </w:pPr>
      <m:oMath>
        <m:r>
          <m:rPr>
            <m:nor/>
            <m:sty m:val="p"/>
          </m:rPr>
          <m:t>Score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Score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Clamped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min</m:t>
                    </m:r>
                  </m:sub>
                </m:sSub>
              </m:num>
              <m:den>
                <m:r>
                  <m:t>2</m:t>
                </m:r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Median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min</m:t>
                    </m:r>
                  </m:sub>
                </m:sSub>
              </m:den>
            </m:f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nor/>
                    <m:sty m:val="p"/>
                  </m:rPr>
                  <m:t>Score</m:t>
                </m:r>
              </m:e>
              <m:sub>
                <m:r>
                  <m:rPr>
                    <m:nor/>
                    <m:sty m:val="p"/>
                  </m:rPr>
                  <m:t>min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nor/>
                    <m:sty m:val="p"/>
                  </m:rPr>
                  <m:t>Score</m:t>
                </m:r>
              </m:e>
              <m:sub>
                <m:r>
                  <m:rPr>
                    <m:nor/>
                    <m:sty m:val="p"/>
                  </m:rPr>
                  <m:t>max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∴</m:t>
        </m:r>
        <m:r>
          <m:rPr>
            <m:nor/>
            <m:sty m:val="p"/>
          </m:rPr>
          <m:t>Score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clamped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150</m:t>
                </m:r>
              </m:num>
              <m:den>
                <m:r>
                  <m:t>2</m:t>
                </m:r>
                <m:sSub>
                  <m:e>
                    <m:r>
                      <m:rPr>
                        <m:nor/>
                        <m:sty m:val="p"/>
                      </m:rPr>
                      <m:t>RT</m:t>
                    </m:r>
                  </m:e>
                  <m:sub>
                    <m:r>
                      <m:rPr>
                        <m:nor/>
                        <m:sty m:val="p"/>
                      </m:rPr>
                      <m:t>Median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150</m:t>
                </m:r>
              </m:den>
            </m:f>
          </m:e>
        </m:d>
        <m:r>
          <m:rPr>
            <m:sty m:val="p"/>
          </m:rPr>
          <m:t>×</m:t>
        </m:r>
        <m:r>
          <m:t>100</m:t>
        </m:r>
      </m:oMath>
    </w:p>
    <w:p>
      <w:pPr>
        <w:pStyle w:val="BodyText"/>
      </w:pPr>
      <w:r>
        <w:t xml:space="preserve">For example, taking the initial RT bounds that were set to</w:t>
      </w:r>
      <w:r>
        <w:t xml:space="preserve"> </w:t>
      </w:r>
      <m:oMath>
        <m:sSub>
          <m:e>
            <m:r>
              <m:rPr>
                <m:nor/>
                <m:sty m:val="p"/>
              </m:rPr>
              <m:t>RT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sSub>
          <m:e>
            <m:r>
              <m:rPr>
                <m:nor/>
                <m:sty m:val="p"/>
              </m:rPr>
              <m:t>RT</m:t>
            </m:r>
          </m:e>
          <m:sub>
            <m:r>
              <m:rPr>
                <m:nor/>
                <m:sty m:val="p"/>
              </m:rPr>
              <m:t>Median</m:t>
            </m:r>
          </m:sub>
        </m:sSub>
        <m:r>
          <m:rPr>
            <m:sty m:val="p"/>
          </m:rPr>
          <m:t>=</m:t>
        </m:r>
        <m:r>
          <m:t>600</m:t>
        </m:r>
      </m:oMath>
      <w:r>
        <w:t xml:space="preserve">, with score limits set to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200</m:t>
            </m:r>
          </m:e>
        </m:d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RT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Clamped 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DoggoNogo was completed after between</w:t>
      </w:r>
      <w:r>
        <w:t xml:space="preserve"> </w:t>
      </w:r>
      <w:r>
        <w:rPr>
          <w:bCs/>
          <w:b/>
        </w:rPr>
        <w:t xml:space="preserve">lower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upper</w:t>
      </w:r>
      <w:r>
        <w:t xml:space="preserve"> </w:t>
      </w:r>
      <w:r>
        <w:t xml:space="preserve">trials (</w:t>
      </w:r>
      <w:r>
        <w:rPr>
          <w:iCs/>
          <w:i/>
        </w:rPr>
        <w:t xml:space="preserve">M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X</w:t>
      </w:r>
      <w:r>
        <w:t xml:space="preserve">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X</w:t>
      </w:r>
      <w:r>
        <w:t xml:space="preserve">).</w:t>
      </w:r>
    </w:p>
    <w:bookmarkEnd w:id="30"/>
    <w:bookmarkStart w:id="31" w:name="srt"/>
    <w:p>
      <w:pPr>
        <w:pStyle w:val="Heading3"/>
      </w:pPr>
      <w:r>
        <w:t xml:space="preserve">SRT</w:t>
      </w:r>
    </w:p>
    <w:p>
      <w:pPr>
        <w:numPr>
          <w:ilvl w:val="0"/>
          <w:numId w:val="1007"/>
        </w:numPr>
        <w:pStyle w:val="Compact"/>
      </w:pPr>
      <w:r>
        <w:t xml:space="preserve">☐ Development</w:t>
      </w:r>
    </w:p>
    <w:p>
      <w:pPr>
        <w:numPr>
          <w:ilvl w:val="0"/>
          <w:numId w:val="1007"/>
        </w:numPr>
        <w:pStyle w:val="Compact"/>
      </w:pPr>
      <w:r>
        <w:t xml:space="preserve">☐ Layout</w:t>
      </w:r>
    </w:p>
    <w:p>
      <w:pPr>
        <w:numPr>
          <w:ilvl w:val="0"/>
          <w:numId w:val="1007"/>
        </w:numPr>
        <w:pStyle w:val="Compact"/>
      </w:pPr>
      <w:r>
        <w:t xml:space="preserve">☐ Procedure - blocks, trials</w:t>
      </w:r>
    </w:p>
    <w:p>
      <w:pPr>
        <w:numPr>
          <w:ilvl w:val="0"/>
          <w:numId w:val="1007"/>
        </w:numPr>
        <w:pStyle w:val="Compact"/>
      </w:pPr>
      <w:r>
        <w:t xml:space="preserve">☐ Dynamic ISI</w:t>
      </w:r>
    </w:p>
    <w:p>
      <w:pPr>
        <w:numPr>
          <w:ilvl w:val="0"/>
          <w:numId w:val="1007"/>
        </w:numPr>
        <w:pStyle w:val="Compact"/>
      </w:pPr>
      <w:r>
        <w:t xml:space="preserve">☐ Responding - premature consequences, late, …</w:t>
      </w:r>
    </w:p>
    <w:p>
      <w:pPr>
        <w:pStyle w:val="FirstParagraph"/>
      </w:pPr>
      <w:r>
        <w:t xml:space="preserve">The SRT was written using JSPsych (</w:t>
      </w:r>
      <w:r>
        <w:rPr>
          <w:iCs/>
          <w:i/>
        </w:rPr>
        <w:t xml:space="preserve">ref</w:t>
      </w:r>
      <w:r>
        <w:t xml:space="preserve">) There were a total of 150 trials (50 per block)</w:t>
      </w:r>
    </w:p>
    <w:p>
      <w:pPr>
        <w:pStyle w:val="BodyText"/>
      </w:pPr>
      <w:r>
        <w:t xml:space="preserve">For each trial, the interstimulus interval (ISI) was a value randomly selected from a uniform distribution ranging 1000-4000(ms). Premature responses ____ a message and reset the trial with a new ISI value - thus preventing participants from skipping through the experiment. If participants did not respond within 600ms, the ____ was marked as ___ aand they progressed to the next trial.</w:t>
      </w:r>
    </w:p>
    <w:bookmarkEnd w:id="31"/>
    <w:bookmarkEnd w:id="32"/>
    <w:bookmarkStart w:id="33" w:name="results"/>
    <w:p>
      <w:pPr>
        <w:pStyle w:val="Heading2"/>
      </w:pPr>
      <w:r>
        <w:t xml:space="preserve">Results</w:t>
      </w:r>
    </w:p>
    <w:bookmarkEnd w:id="33"/>
    <w:bookmarkStart w:id="34" w:name="discussion"/>
    <w:p>
      <w:pPr>
        <w:pStyle w:val="Heading2"/>
      </w:pPr>
      <w:r>
        <w:t xml:space="preserve">Discussion</w:t>
      </w:r>
    </w:p>
    <w:sectPr>
      <w:lnNumType w:countBy="1" w:restart="continuous"/>
    </w:sectPr>
    <w:bookmarkEnd w:id="34"/>
    <w:bookmarkEnd w:id="3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TO DO</dc:description>
  <cp:keywords/>
  <dcterms:created xsi:type="dcterms:W3CDTF">2024-12-17T12:15:18Z</dcterms:created>
  <dcterms:modified xsi:type="dcterms:W3CDTF">2024-12-17T12:15:18Z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TO DO Significance Statement. TO DO</vt:lpwstr>
  </property>
  <property fmtid="{D5CDD505-2E9C-101B-9397-08002B2CF9AE}" pid="5" name="apaauthor">
    <vt:lpwstr/>
  </property>
  <property fmtid="{D5CDD505-2E9C-101B-9397-08002B2CF9AE}" pid="6" name="apatitle">
    <vt:lpwstr>Validation of a Gamified Measure of Processing Speed</vt:lpwstr>
  </property>
  <property fmtid="{D5CDD505-2E9C-101B-9397-08002B2CF9AE}" pid="7" name="apatitledisplay">
    <vt:lpwstr>Validation of a Gamified Measure of Processing Speed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numbered-lines">
    <vt:lpwstr>True</vt:lpwstr>
  </property>
  <property fmtid="{D5CDD505-2E9C-101B-9397-08002B2CF9AE}" pid="27" name="oneaffiliation">
    <vt:lpwstr>False</vt:lpwstr>
  </property>
  <property fmtid="{D5CDD505-2E9C-101B-9397-08002B2CF9AE}" pid="28" name="oneauthor">
    <vt:lpwstr>True</vt:lpwstr>
  </property>
  <property fmtid="{D5CDD505-2E9C-101B-9397-08002B2CF9AE}" pid="29" name="references">
    <vt:lpwstr/>
  </property>
  <property fmtid="{D5CDD505-2E9C-101B-9397-08002B2CF9AE}" pid="30" name="revealjs-plugins">
    <vt:lpwstr/>
  </property>
  <property fmtid="{D5CDD505-2E9C-101B-9397-08002B2CF9AE}" pid="31" name="shorttitle">
    <vt:lpwstr>TO DO</vt:lpwstr>
  </property>
  <property fmtid="{D5CDD505-2E9C-101B-9397-08002B2CF9AE}" pid="32" name="suppress-abstract">
    <vt:lpwstr>False</vt:lpwstr>
  </property>
  <property fmtid="{D5CDD505-2E9C-101B-9397-08002B2CF9AE}" pid="33" name="suppress-affiliation">
    <vt:lpwstr>False</vt:lpwstr>
  </property>
  <property fmtid="{D5CDD505-2E9C-101B-9397-08002B2CF9AE}" pid="34" name="suppress-author">
    <vt:lpwstr>False</vt:lpwstr>
  </property>
  <property fmtid="{D5CDD505-2E9C-101B-9397-08002B2CF9AE}" pid="35" name="suppress-author-note">
    <vt:lpwstr>False</vt:lpwstr>
  </property>
  <property fmtid="{D5CDD505-2E9C-101B-9397-08002B2CF9AE}" pid="36" name="suppress-corresponding-address">
    <vt:lpwstr>False</vt:lpwstr>
  </property>
  <property fmtid="{D5CDD505-2E9C-101B-9397-08002B2CF9AE}" pid="37" name="suppress-corresponding-affiliation-name">
    <vt:lpwstr>False</vt:lpwstr>
  </property>
  <property fmtid="{D5CDD505-2E9C-101B-9397-08002B2CF9AE}" pid="38" name="suppress-corresponding-city">
    <vt:lpwstr>False</vt:lpwstr>
  </property>
  <property fmtid="{D5CDD505-2E9C-101B-9397-08002B2CF9AE}" pid="39" name="suppress-corresponding-department">
    <vt:lpwstr>False</vt:lpwstr>
  </property>
  <property fmtid="{D5CDD505-2E9C-101B-9397-08002B2CF9AE}" pid="40" name="suppress-corresponding-email">
    <vt:lpwstr>False</vt:lpwstr>
  </property>
  <property fmtid="{D5CDD505-2E9C-101B-9397-08002B2CF9AE}" pid="41" name="suppress-corresponding-group">
    <vt:lpwstr>False</vt:lpwstr>
  </property>
  <property fmtid="{D5CDD505-2E9C-101B-9397-08002B2CF9AE}" pid="42" name="suppress-corresponding-paragraph">
    <vt:lpwstr>False</vt:lpwstr>
  </property>
  <property fmtid="{D5CDD505-2E9C-101B-9397-08002B2CF9AE}" pid="43" name="suppress-corresponding-postal-code">
    <vt:lpwstr>False</vt:lpwstr>
  </property>
  <property fmtid="{D5CDD505-2E9C-101B-9397-08002B2CF9AE}" pid="44" name="suppress-corresponding-region">
    <vt:lpwstr>False</vt:lpwstr>
  </property>
  <property fmtid="{D5CDD505-2E9C-101B-9397-08002B2CF9AE}" pid="45" name="suppress-credit-statement">
    <vt:lpwstr>False</vt:lpwstr>
  </property>
  <property fmtid="{D5CDD505-2E9C-101B-9397-08002B2CF9AE}" pid="46" name="suppress-disclosures-paragraph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zerocitations">
    <vt:lpwstr>True</vt:lpwstr>
  </property>
</Properties>
</file>