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Alessandro Ansani</w:t>
      </w:r>
      <w:r>
        <w:rPr>
          <w:vertAlign w:val="superscript"/>
        </w:rPr>
        <w:t xml:space="preserve">4</w:t>
      </w:r>
      <w:r>
        <w:t xml:space="preserve">, Marco Marini</w:t>
      </w:r>
      <w:r>
        <w:rPr>
          <w:vertAlign w:val="superscript"/>
        </w:rPr>
        <w:t xml:space="preserve">4</w:t>
      </w:r>
      <w:r>
        <w:t xml:space="preserve">, Antonio Olivera-La Rosa</w:t>
      </w:r>
      <w:r>
        <w:rPr>
          <w:vertAlign w:val="superscript"/>
        </w:rPr>
        <w:t xml:space="preserve">4</w:t>
      </w:r>
      <w:r>
        <w:t xml:space="preserve">, Guido Corradi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Music, Art and Culture Studies, University of Jyväskylä</w:t>
      </w:r>
    </w:p>
    <w:p>
      <w:pPr>
        <w:pStyle w:val="Author"/>
      </w:pPr>
      <w:r>
        <w:rPr>
          <w:vertAlign w:val="superscript"/>
        </w:rPr>
        <w:t xml:space="preserve">5</w:t>
      </w:r>
      <w:r>
        <w:t xml:space="preserve">Institute of Cognitive Sciences and Technologies</w:t>
      </w:r>
    </w:p>
    <w:p>
      <w:pPr>
        <w:pStyle w:val="Author"/>
      </w:pPr>
      <w:r>
        <w:rPr>
          <w:vertAlign w:val="superscript"/>
        </w:rPr>
        <w:t xml:space="preserve">6</w:t>
      </w:r>
      <w:r>
        <w:t xml:space="preserve">Department of Psychology and Social Sciences, Universidad Católica Luis Amigó</w:t>
      </w:r>
    </w:p>
    <w:p>
      <w:pPr>
        <w:pStyle w:val="Author"/>
      </w:pPr>
      <w:r>
        <w:rPr>
          <w:vertAlign w:val="superscript"/>
        </w:rPr>
        <w:t xml:space="preserve">7</w:t>
      </w:r>
      <w:r>
        <w:t xml:space="preserve">Department of Social Psychology and Organization, Universidad Nacional de Educación a Distancia</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Alessandro Ansani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https://orcid.org/0000-0002-0657-5732</w:t>
        </w:r>
      </w:hyperlink>
    </w:p>
    <w:p>
      <w:pPr>
        <w:pStyle w:val="BodyText"/>
      </w:pPr>
      <w:r>
        <w:t xml:space="preserve">Marco Marini</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https://orcid.org/0000-0001-5466-8194</w:t>
        </w:r>
      </w:hyperlink>
    </w:p>
    <w:p>
      <w:pPr>
        <w:pStyle w:val="BodyText"/>
      </w:pPr>
      <w:r>
        <w:t xml:space="preserve">Antonio Olivera-La Rosa</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https://orcid.org/0000-0001-7637-8518</w:t>
        </w:r>
      </w:hyperlink>
    </w:p>
    <w:p>
      <w:pPr>
        <w:pStyle w:val="BodyText"/>
      </w:pPr>
      <w:r>
        <w:t xml:space="preserve">Guido Corradi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https://orcid.org/0000-0001-9163-6829</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visualization, writing – original draft, and writing – review &amp; editing. </w:t>
      </w:r>
      <w:r>
        <w:rPr>
          <w:i/>
          <w:iCs/>
        </w:rPr>
        <w:t xml:space="preserve">Marco Viola</w:t>
      </w:r>
      <w:r>
        <w:rPr>
          <w:b/>
          <w:bCs/>
        </w:rPr>
        <w:t xml:space="preserve">: </w:t>
      </w:r>
      <w:r>
        <w:t xml:space="preserve">bla,  , and bla. </w:t>
      </w:r>
      <w:r>
        <w:rPr>
          <w:i/>
          <w:iCs/>
        </w:rPr>
        <w:t xml:space="preserve">Marco Sperduti</w:t>
      </w:r>
      <w:r>
        <w:rPr>
          <w:b/>
          <w:bCs/>
        </w:rPr>
        <w:t xml:space="preserve">: </w:t>
      </w:r>
      <w:r>
        <w:t xml:space="preserve">bla,  , and bla. </w:t>
      </w:r>
      <w:r>
        <w:rPr>
          <w:i/>
          <w:iCs/>
        </w:rPr>
        <w:t xml:space="preserve">Alessandro Ansani</w:t>
      </w:r>
      <w:r>
        <w:rPr>
          <w:b/>
          <w:bCs/>
        </w:rPr>
        <w:t xml:space="preserve">: </w:t>
      </w:r>
      <w:r>
        <w:t xml:space="preserve">bla,  , and bla. </w:t>
      </w:r>
      <w:r>
        <w:rPr>
          <w:i/>
          <w:iCs/>
        </w:rPr>
        <w:t xml:space="preserve">Marco Marini</w:t>
      </w:r>
      <w:r>
        <w:rPr>
          <w:b/>
          <w:bCs/>
        </w:rPr>
        <w:t xml:space="preserve">: </w:t>
      </w:r>
      <w:r>
        <w:t xml:space="preserve">bla,  , and bla. </w:t>
      </w:r>
      <w:r>
        <w:rPr>
          <w:i/>
          <w:iCs/>
        </w:rPr>
        <w:t xml:space="preserve">Antonio Olivera-La Rosa</w:t>
      </w:r>
      <w:r>
        <w:rPr>
          <w:b/>
          <w:bCs/>
        </w:rPr>
        <w:t xml:space="preserve">: </w:t>
      </w:r>
      <w:r>
        <w:t xml:space="preserve">bla,  , and bla. </w:t>
      </w:r>
      <w:r>
        <w:rPr>
          <w:i/>
          <w:iCs/>
        </w:rPr>
        <w:t xml:space="preserve">Guido Corradi</w:t>
      </w:r>
      <w:r>
        <w:rPr>
          <w:b/>
          <w:bCs/>
        </w:rPr>
        <w:t xml:space="preserve">: </w:t>
      </w:r>
      <w:r>
        <w:t xml:space="preserve">bla,  , and bla. </w:t>
      </w:r>
      <w:r>
        <w:rPr>
          <w:i/>
          <w:iCs/>
        </w:rPr>
        <w:t xml:space="preserve">Dominique Makowski</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Ana Neves, School of Psychology, University of Sussex, Email:</w:t>
      </w:r>
      <w:r>
        <w:t xml:space="preserve"> </w:t>
      </w:r>
      <w:hyperlink r:id="rId54">
        <w:r>
          <w:rPr>
            <w:rStyle w:val="Hyperlink"/>
          </w:rPr>
          <w:t xml:space="preserve">A.Neves@sussex.ac.uk</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keyword1, keyword2, keyword3</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and most videos online are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The widespread consumption of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be valued less inasmuch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pPr>
        <w:pStyle w:val="BodyText"/>
      </w:pPr>
      <w:r>
        <w:t xml:space="preserve">However,</w:t>
      </w:r>
      <w:r>
        <w:t xml:space="preserve"> </w:t>
      </w:r>
      <w:r>
        <w:t xml:space="preserve">Marini et al. (</w:t>
      </w:r>
      <w:hyperlink w:anchor="ref-marini2024real">
        <w:r>
          <w:rPr>
            <w:rStyle w:val="Hyperlink"/>
          </w:rPr>
          <w:t xml:space="preserve">2024</w:t>
        </w:r>
      </w:hyperlink>
      <w:r>
        <w:t xml:space="preserve">)</w:t>
      </w:r>
      <w:r>
        <w:t xml:space="preserve"> </w:t>
      </w:r>
      <w:r>
        <w:t xml:space="preserve">studies are based on a sample from a single nation (Italy) and provide scant socio-demographic information.</w:t>
      </w:r>
      <w:r>
        <w:t xml:space="preserve"> </w:t>
      </w:r>
      <w:r>
        <w:t xml:space="preserve">They only investigate a single dependent variable, namely self-reported sexual arousal.</w:t>
      </w:r>
      <w:r>
        <w:t xml:space="preserve"> </w:t>
      </w:r>
      <w:r>
        <w:t xml:space="preserve">However,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w:t>
      </w:r>
      <w:r>
        <w:t xml:space="preserve"> </w:t>
      </w:r>
      <w:r>
        <w:t xml:space="preserve">More relevantly, they used only mildly sexually arousing stimuli not taken from a validated dataset.</w:t>
      </w:r>
      <w:r>
        <w:t xml:space="preserve"> </w:t>
      </w:r>
      <w:r>
        <w:t xml:space="preserve">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study is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such as first-person subjective sexual arousal and valence, as well as a third person (more</w:t>
      </w:r>
      <w:r>
        <w:t xml:space="preserve"> </w:t>
      </w:r>
      <w:r>
        <w:t xml:space="preserve">“semantic”</w:t>
      </w:r>
      <w:r>
        <w:t xml:space="preserve">) judgment on how enticing they found the image to be.</w:t>
      </w:r>
    </w:p>
    <w:p>
      <w:pPr>
        <w:pStyle w:val="BodyText"/>
      </w:pPr>
      <w:r>
        <w:t xml:space="preserve">Sociodemographic characteristics were systematically considered as a modulator of responses to stimuli, given robust evidence that sexual patterns differ between men and women.</w:t>
      </w:r>
      <w:r>
        <w:t xml:space="preserve"> </w:t>
      </w:r>
      <w:r>
        <w:t xml:space="preserve">For instance, research on arousal indicates that heterosexual men tend to exhibit greater arousal for women.</w:t>
      </w:r>
      <w:r>
        <w:t xml:space="preserve"> </w:t>
      </w:r>
      <w:r>
        <w:t xml:space="preserve">In contrast, heterosexual women’s responses are less gender-specific</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p>
    <w:p>
      <w:pPr>
        <w:pStyle w:val="BodyText"/>
      </w:pPr>
      <w:r>
        <w:t xml:space="preserve">Furthermore, the present studies assess whether individual differences in attitudes towards AI influence responses to the stimuli.</w:t>
      </w:r>
      <w:r>
        <w:t xml:space="preserve"> </w:t>
      </w:r>
      <w:r>
        <w:t xml:space="preserve">Beliefs about the origin of a stimulus can bias evaluations, yet it remains unclear whether this effect depends on individuals’ pre-existing attitudes towards AI.</w:t>
      </w:r>
      <w:r>
        <w:t xml:space="preserve"> </w:t>
      </w:r>
      <w:r>
        <w:t xml:space="preserve">Previous findings suggest that such moderation is inconsistent and may be domain-specific</w:t>
      </w:r>
      <w:r>
        <w:t xml:space="preserve"> </w:t>
      </w:r>
      <w:r>
        <w:t xml:space="preserve">(cf.</w:t>
      </w:r>
      <w:r>
        <w:t xml:space="preserve"> </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w:t>
      </w:r>
      <w:r>
        <w:t xml:space="preserve"> </w:t>
      </w:r>
      <w:r>
        <w:t xml:space="preserve">Moreover, some evidence suggests that broader constructs such as AI readiness may attenuate anti-AI bias</w:t>
      </w:r>
      <w:r>
        <w:t xml:space="preserve"> </w:t>
      </w:r>
      <w:r>
        <w:t xml:space="preserve">(i.e., composite of positive AI attitudes and higher AI literacy,</w:t>
      </w:r>
      <w:r>
        <w:t xml:space="preserve"> </w:t>
      </w:r>
      <w:hyperlink w:anchor="ref-doring2025anti">
        <w:r>
          <w:rPr>
            <w:rStyle w:val="Hyperlink"/>
          </w:rPr>
          <w:t xml:space="preserve">Döring &amp; Mohseni, 2025</w:t>
        </w:r>
      </w:hyperlink>
      <w:r>
        <w:t xml:space="preserve">)</w:t>
      </w:r>
      <w:r>
        <w:t xml:space="preserve">.</w:t>
      </w:r>
      <w:r>
        <w:t xml:space="preserve"> </w:t>
      </w:r>
      <w:r>
        <w:t xml:space="preserve">Accordingly, the present study includes attitudes towards AI as a potential modulating variable to test whether individual differences in these attitudes shape responses to the stimuli.</w:t>
      </w:r>
    </w:p>
    <w:p>
      <w:pPr>
        <w:pStyle w:val="BodyText"/>
      </w:pPr>
      <w:r>
        <w:t xml:space="preserve">Finally, the present studies also considers participant’s sexual behaviour as modulators of responses to sexual stimuli.</w:t>
      </w:r>
      <w:r>
        <w:t xml:space="preserve"> </w:t>
      </w:r>
      <w:r>
        <w:t xml:space="preserve">For example, research indicates that frequency of pornographic consumption can influence attentional and evaluative processing of sexual content.</w:t>
      </w:r>
      <w:r>
        <w:t xml:space="preserve"> </w:t>
      </w:r>
      <w:r>
        <w:t xml:space="preserve">Repeated exposure to pornographic material has been associated with attenuated allocation of automatic attentional resources to sexual stimuli, suggesting a degree of habituation</w:t>
      </w:r>
      <w:r>
        <w:t xml:space="preserve"> </w:t>
      </w:r>
      <w:r>
        <w:t xml:space="preserve">(</w:t>
      </w:r>
      <w:hyperlink w:anchor="ref-carvalho2018gender">
        <w:r>
          <w:rPr>
            <w:rStyle w:val="Hyperlink"/>
          </w:rPr>
          <w:t xml:space="preserve">Carvalho et al., 2018</w:t>
        </w:r>
      </w:hyperlink>
      <w:r>
        <w:t xml:space="preserve">)</w:t>
      </w:r>
      <w:r>
        <w:t xml:space="preserve">.</w:t>
      </w:r>
      <w:r>
        <w:t xml:space="preserve"> </w:t>
      </w:r>
      <w:r>
        <w:t xml:space="preserve">Furthermore, evidence suggests that individuals with lower pornographic use rate erotic stimuli as less pleasant compared to those with moderate or high levels of consumption, indicating that prior exposure shapes subjective appraisal of sexual content</w:t>
      </w:r>
      <w:r>
        <w:t xml:space="preserve"> </w:t>
      </w:r>
      <w:r>
        <w:t xml:space="preserve">(</w:t>
      </w:r>
      <w:hyperlink w:anchor="ref-kunaharan2017conscious">
        <w:r>
          <w:rPr>
            <w:rStyle w:val="Hyperlink"/>
          </w:rPr>
          <w:t xml:space="preserve">Kunaharan et al., 2017</w:t>
        </w:r>
      </w:hyperlink>
      <w:r>
        <w:t xml:space="preserve">)</w:t>
      </w:r>
      <w:r>
        <w:t xml:space="preserve">.</w:t>
      </w:r>
      <w:r>
        <w:t xml:space="preserve"> </w:t>
      </w:r>
      <w:r>
        <w:t xml:space="preserve">Similarly, sexual activity has been shown to modulate the response to erotic imagery</w:t>
      </w:r>
      <w:r>
        <w:t xml:space="preserve"> </w:t>
      </w:r>
      <w:r>
        <w:t xml:space="preserve">(</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w:t>
      </w:r>
      <w:r>
        <w:t xml:space="preserve"> </w:t>
      </w:r>
      <w:r>
        <w:t xml:space="preserve">Together, these findings suggest that both pornography consumption and sexual activity modulate affective ratings of erotic content.</w:t>
      </w:r>
    </w:p>
    <w:bookmarkEnd w:id="60"/>
    <w:bookmarkEnd w:id="61"/>
    <w:bookmarkStart w:id="70" w:name="study-1"/>
    <w:p>
      <w:pPr>
        <w:pStyle w:val="Heading1"/>
      </w:pPr>
      <w:r>
        <w:t xml:space="preserve">Study 1</w:t>
      </w:r>
    </w:p>
    <w:p>
      <w:pPr>
        <w:pStyle w:val="FirstParagraph"/>
      </w:pPr>
      <w:r>
        <w:t xml:space="preserve">In the first study, we aimed at gauging whether an anti-AI bias toward erotic stimuli shows up in a wide and heterogeneous sample, and whether it is modulated by demographic factors, by sexual activity or pornography consumption habits, and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w:t>
      </w:r>
      <w:r>
        <w:t xml:space="preserve"> </w:t>
      </w:r>
      <w:r>
        <w:t xml:space="preserve">(e.g.,</w:t>
      </w:r>
      <w:r>
        <w:t xml:space="preserve"> </w:t>
      </w:r>
      <w:hyperlink w:anchor="ref-kunaharan2017conscious">
        <w:r>
          <w:rPr>
            <w:rStyle w:val="Hyperlink"/>
          </w:rPr>
          <w:t xml:space="preserve">Kunaharan et al., 2017</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https://github.com/RealityBending/FictionEro/tree/main/study1/experiment.</w:t>
      </w:r>
      <w:r>
        <w:t xml:space="preserve"> </w:t>
      </w:r>
      <w:r>
        <w:t xml:space="preserve">Note that the experiment was translated into English, French, Italian and Spanish (based on our native language) and then we disseminated it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some of which were generated by the algorithm and others that were real photographs, and that their task was to rate each image on several affective dimensions, each preceded with a cue (the word</w:t>
      </w:r>
      <w:r>
        <w:t xml:space="preserve"> </w:t>
      </w:r>
      <w:r>
        <w:t xml:space="preserve">“AI-Generated”</w:t>
      </w:r>
      <w:r>
        <w:t xml:space="preserve"> </w:t>
      </w:r>
      <w:r>
        <w:t xml:space="preserve">or</w:t>
      </w:r>
      <w:r>
        <w:t xml:space="preserve"> </w:t>
      </w:r>
      <w:r>
        <w:t xml:space="preserve">“Photo”</w:t>
      </w:r>
      <w:r>
        <w:t xml:space="preserve">) presented for 1.25 s.</w:t>
      </w:r>
    </w:p>
    <w:p>
      <w:pPr>
        <w:pStyle w:val="BodyText"/>
      </w:pPr>
      <w:r>
        <w:t xml:space="preserve">Participants’ task was to rate each image on three dimensions on analog scales:</w:t>
      </w:r>
      <w:r>
        <w:t xml:space="preserve"> </w:t>
      </w:r>
      <w:r>
        <w:rPr>
          <w:i/>
          <w:iCs/>
        </w:rPr>
        <w:t xml:space="preserve">Arousal</w:t>
      </w:r>
      <w:r>
        <w:t xml:space="preserve"> </w:t>
      </w:r>
      <w:r>
        <w:t xml:space="preserve">(</w:t>
      </w:r>
      <w:r>
        <w:t xml:space="preserve">“How much do you find the image sexually arousing?</w:t>
      </w:r>
      <w:r>
        <w:t xml:space="preserve"> </w:t>
      </w:r>
      <w:r>
        <w:t xml:space="preserve">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w:t>
      </w:r>
      <w:r>
        <w:t xml:space="preserve"> </w:t>
      </w:r>
      <w:r>
        <w:t xml:space="preserve">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(presented for 2.5 s), and the cues were randomly assigned.</w:t>
      </w:r>
      <w:r>
        <w:t xml:space="preserve"> </w:t>
      </w:r>
      <w:r>
        <w:t xml:space="preserve">We selected 60 images: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lowest-arousal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r>
        <w:t xml:space="preserve"> </w:t>
      </w:r>
    </w:p>
    <w:p>
      <w:pPr>
        <w:pStyle w:val="Heading4"/>
        <w:rPr>
          <w:vanish/>
          <w:specVanish/>
        </w:rPr>
      </w:pPr>
      <w:r>
        <w:t>Questionnaires.</w:t>
      </w:r>
      <w:r>
        <w:t xml:space="preserve"> </w:t>
      </w:r>
    </w:p>
    <w:p>
      <w:pPr>
        <w:pStyle w:val="BodyText"/>
      </w:pP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material across various types such as text, videos, images, and VR-environments.</w:t>
      </w:r>
      <w:r>
        <w:t xml:space="preserve"> </w:t>
      </w:r>
      <w:r>
        <w:t xml:space="preserve">As such, the BAIT includes two dimensions: expectations (</w:t>
      </w:r>
      <m:oMath>
        <m:r>
          <m:t>ω</m:t>
        </m:r>
      </m:oMath>
      <w:r>
        <w:t xml:space="preserve"> </w:t>
      </w:r>
      <w:r>
        <w:t xml:space="preserve">= .70) and attitudes (</w:t>
      </w:r>
      <m:oMath>
        <m:r>
          <m:t>ω</m:t>
        </m:r>
      </m:oMath>
      <w:r>
        <w:t xml:space="preserve"> </w:t>
      </w:r>
      <w:r>
        <w:t xml:space="preserve">= .72) both with acceptable internal consistency.</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r>
        <w:t xml:space="preserve"> </w:t>
      </w:r>
    </w:p>
    <w:p>
      <w:pPr>
        <w:pStyle w:val="Heading4"/>
        <w:rPr>
          <w:vanish/>
          <w:specVanish/>
        </w:rPr>
      </w:pPr>
      <w:r>
        <w:t>Phase 2: Realism Beliefs.</w:t>
      </w:r>
      <w:r>
        <w:t xml:space="preserve"> </w:t>
      </w:r>
    </w:p>
    <w:p>
      <w:pPr>
        <w:pStyle w:val="BodyText"/>
      </w:pPr>
      <w:r>
        <w:t xml:space="preserve">Following the questionnaires, participants were presented with the instructions of phase 2, assessing the perceived realistic quality of the stimuli.</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w:t>
      </w:r>
      <w:r>
        <w:t xml:space="preserve"> </w:t>
      </w:r>
      <w:r>
        <w:t xml:space="preserve">Relevance corresponded to the sexual interest according to the participants’ gender and sexual orientation (i.e., erotic pictures involving women were categorized as relevant for heterosexual males, and irrelevant for heterosexual females, and vice versa for pictures of men).</w:t>
      </w:r>
      <w:r>
        <w:t xml:space="preserve"> </w:t>
      </w:r>
      <w:r>
        <w:t xml:space="preserve">Congruence,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 of relevance and condition also modeled as variable within participants.</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relevance, gender, and congruency.</w:t>
      </w:r>
      <w:r>
        <w:t xml:space="preserve"> </w:t>
      </w:r>
      <w:r>
        <w:t xml:space="preserve">Coefficients are considered as significant when the 95% credible interval (</w:t>
      </w:r>
      <w:r>
        <w:rPr>
          <w:i/>
          <w:iCs/>
        </w:rPr>
        <w:t xml:space="preserve">CrI</w:t>
      </w:r>
      <w:r>
        <w:t xml:space="preserve">) is strictly non-null.</w:t>
      </w:r>
      <w:r>
        <w:t xml:space="preserve"> </w:t>
      </w:r>
      <w:r>
        <w:t xml:space="preserve">As the patterns of results for the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(D-vour,</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0.666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that the parameter can meaningfully capture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r>
        <w:t xml:space="preserve"> </w:t>
      </w:r>
      <w:r>
        <w:t xml:space="preserve">Correlations, computed with the correlations package</w:t>
      </w:r>
      <w:r>
        <w:t xml:space="preserve"> </w:t>
      </w:r>
      <w:r>
        <w:t xml:space="preserve">(</w:t>
      </w:r>
      <w:hyperlink w:anchor="ref-correlationPackage">
        <w:r>
          <w:rPr>
            <w:rStyle w:val="Hyperlink"/>
          </w:rPr>
          <w:t xml:space="preserve">Makowski et al., 2022</w:t>
        </w:r>
      </w:hyperlink>
      <w:r>
        <w:t xml:space="preserve">)</w:t>
      </w:r>
      <w:r>
        <w:t xml:space="preserve"> </w:t>
      </w:r>
      <w:r>
        <w:t xml:space="preserve">will be used to explore whether reliable variation in the random effects can be explained by theoretically relevant individual differences.</w:t>
      </w:r>
      <w:r>
        <w:t xml:space="preserve"> </w:t>
      </w:r>
      <w:r>
        <w:t xml:space="preserve">Pearson’s r and its associated 95% confidence interval (</w:t>
      </w:r>
      <w:r>
        <w:rPr>
          <w:i/>
          <w:iCs/>
        </w:rPr>
        <w:t xml:space="preserve">CI</w:t>
      </w:r>
      <w:r>
        <w:t xml:space="preserve">) will be reported and interpreted according to Pearson’s criteria</w:t>
      </w:r>
      <w:r>
        <w:t xml:space="preserve"> </w:t>
      </w:r>
      <w:r>
        <w:t xml:space="preserve">(</w:t>
      </w:r>
      <w:hyperlink w:anchor="ref-cohen2013statistical">
        <w:r>
          <w:rPr>
            <w:rStyle w:val="Hyperlink"/>
          </w:rPr>
          <w:t xml:space="preserve">Cohen, 2013</w:t>
        </w:r>
      </w:hyperlink>
      <w:r>
        <w:t xml:space="preserve">)</w:t>
      </w:r>
      <w:r>
        <w:t xml:space="preserve">.</w:t>
      </w:r>
      <w:r>
        <w:t xml:space="preserve"> </w:t>
      </w: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pPr>
        <w:pStyle w:val="BodyText"/>
      </w:pPr>
      <w:r>
        <w:t xml:space="preserve">For arousal, participants who reported that AI images were less arousing showed a larger difference between images labelled as AI-generated and as photographs (M</w:t>
      </w:r>
      <w:r>
        <w:rPr>
          <w:vertAlign w:val="subscript"/>
        </w:rPr>
        <w:t xml:space="preserve">difference</w:t>
      </w:r>
      <w:r>
        <w:t xml:space="preserve"> </w:t>
      </w:r>
      <w:r>
        <w:t xml:space="preserve">= −0.02) than participants who did not report this belief (M</w:t>
      </w:r>
      <w:r>
        <w:rPr>
          <w:vertAlign w:val="subscript"/>
        </w:rPr>
        <w:t xml:space="preserve">difference</w:t>
      </w:r>
      <w:r>
        <w:t xml:space="preserve"> </w:t>
      </w:r>
      <w:r>
        <w:t xml:space="preserve">= −0.002). A Bayesian independent-samples t-test indicated moderate evidence for a group difference (BF</w:t>
      </w:r>
      <w:r>
        <w:rPr>
          <w:vertAlign w:val="subscript"/>
        </w:rPr>
        <w:t xml:space="preserve">10</w:t>
      </w:r>
      <w:r>
        <w:t xml:space="preserve"> </w:t>
      </w:r>
      <w:r>
        <w:t xml:space="preserve">= 3.45), with a small-to-moderate standardised effect size (median</w:t>
      </w:r>
      <w:r>
        <w:t xml:space="preserve"> </w:t>
      </w:r>
      <m:oMath>
        <m:r>
          <m:t>δ</m:t>
        </m:r>
      </m:oMath>
      <w:r>
        <w:t xml:space="preserve"> </w:t>
      </w:r>
      <w:r>
        <w:t xml:space="preserve">= 0.30, 95%</w:t>
      </w:r>
      <w:r>
        <w:t xml:space="preserve"> </w:t>
      </w:r>
      <w:r>
        <w:rPr>
          <w:i/>
          <w:iCs/>
        </w:rPr>
        <w:t xml:space="preserve">CrI</w:t>
      </w:r>
      <w:r>
        <w:t xml:space="preserve"> </w:t>
      </w:r>
      <w:r>
        <w:t xml:space="preserve">[0.07, 0.54],</w:t>
      </w:r>
      <w:r>
        <w:t xml:space="preserve"> </w:t>
      </w:r>
      <w:r>
        <w:rPr>
          <w:i/>
          <w:iCs/>
        </w:rPr>
        <w:t xml:space="preserve">pd</w:t>
      </w:r>
      <w:r>
        <w:t xml:space="preserve"> </w:t>
      </w:r>
      <w:r>
        <w:t xml:space="preserve">= 99.5%).</w:t>
      </w:r>
      <w:r>
        <w:t xml:space="preserve"> </w:t>
      </w:r>
      <w:r>
        <w:t xml:space="preserve">A similar pattern was observed for enticement and valence (for full results see analysis folder on the Github link above).</w:t>
      </w:r>
    </w:p>
    <w:bookmarkEnd w:id="71"/>
    <w:bookmarkStart w:id="79" w:name="marginal-contrasts"/>
    <w:p>
      <w:pPr>
        <w:pStyle w:val="Heading2"/>
      </w:pPr>
      <w:r>
        <w:t xml:space="preserve">Marginal Contrasts</w:t>
      </w:r>
    </w:p>
    <w:bookmarkStart w:id="72" w:name="effect-of-relevance"/>
    <w:p>
      <w:pPr>
        <w:pStyle w:val="Heading3"/>
      </w:pPr>
      <w:r>
        <w:t xml:space="preserve">Effect of Relevance</w:t>
      </w:r>
    </w:p>
    <w:p>
      <w:pPr>
        <w:pStyle w:val="FirstParagraph"/>
      </w:pPr>
      <w:r>
        <w:t xml:space="preserve">To evaluate whether the different stimuli (erotic relevant, erotic irrelevant, and non-erotic) elicit dissimilar responses, marginal contrasts from the mixed models were examined, focusing on the effect of relevance. These contrasts assessed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CrI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CrI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CrI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CrI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male erotic images.</w:t>
      </w:r>
    </w:p>
    <w:bookmarkEnd w:id="72"/>
    <w:bookmarkStart w:id="73" w:name="effect-of-condition"/>
    <w:p>
      <w:pPr>
        <w:pStyle w:val="Heading3"/>
      </w:pPr>
      <w:r>
        <w:t xml:space="preserve">Effect of Condition</w:t>
      </w:r>
    </w:p>
    <w:p>
      <w:pPr>
        <w:pStyle w:val="FirstParagraph"/>
      </w:pPr>
      <w:r>
        <w:t xml:space="preserve">Estimated marginal contrasts assessed the effect of condition (photographic vs. AI-generated) across gender and relevance.</w:t>
      </w:r>
      <w:r>
        <w:t xml:space="preserve"> </w:t>
      </w:r>
      <w:r>
        <w:t xml:space="preserve">For males, female erotic images presented as photographs were rated as slightly more arousing than those presented as AI-generated, although the effect was small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99.6%). In contrast, females showed the opposite pattern, with AI-generated male erotic images rated marginally more arousing than photographic images (</w:t>
      </w:r>
      <m:oMath>
        <m:r>
          <m:t>Δ</m:t>
        </m:r>
      </m:oMath>
      <w:r>
        <w:t xml:space="preserve"> </w:t>
      </w:r>
      <w:r>
        <w:t xml:space="preserve">= −0.02, 95%</w:t>
      </w:r>
      <w:r>
        <w:t xml:space="preserve"> </w:t>
      </w:r>
      <w:r>
        <w:rPr>
          <w:i/>
          <w:iCs/>
        </w:rPr>
        <w:t xml:space="preserve">CrI</w:t>
      </w:r>
      <w:r>
        <w:t xml:space="preserve"> </w:t>
      </w:r>
      <w:r>
        <w:t xml:space="preserve">[−0.03, 0.00],</w:t>
      </w:r>
      <w:r>
        <w:t xml:space="preserve"> </w:t>
      </w:r>
      <w:r>
        <w:rPr>
          <w:i/>
          <w:iCs/>
        </w:rPr>
        <w:t xml:space="preserve">pd</w:t>
      </w:r>
      <w:r>
        <w:t xml:space="preserve"> </w:t>
      </w:r>
      <w:r>
        <w:t xml:space="preserve">= 98.3%).</w:t>
      </w:r>
      <w:r>
        <w:t xml:space="preserve"> </w:t>
      </w: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3"/>
    <w:bookmarkStart w:id="78" w:name="X4ec19104e7377c6dc44535825d798ccf944df11"/>
    <w:p>
      <w:pPr>
        <w:pStyle w:val="Heading3"/>
      </w:pPr>
      <w:r>
        <w:t xml:space="preserve">Effect of Condition Depending on Congruence</w:t>
      </w:r>
    </w:p>
    <w:p>
      <w:pPr>
        <w:pStyle w:val="FirstParagraph"/>
      </w:pPr>
      <w:r>
        <w:t xml:space="preserve">Estimated marginal contrasts examined the effect of condition as a function of gender, relevance, and congruence.</w:t>
      </w:r>
      <w:r>
        <w:t xml:space="preserve"> </w:t>
      </w:r>
      <w:r>
        <w:t xml:space="preserve">Under congruent trials, photographic images were rated as more arousing than AI-generated images for female erotic images among male participants and for male erotic images among female participants.</w:t>
      </w:r>
      <w:r>
        <w:t xml:space="preserve"> </w:t>
      </w:r>
      <w:r>
        <w:t xml:space="preserve">This effect was slightly larger for males (</w:t>
      </w:r>
      <m:oMath>
        <m:r>
          <m:t>Δ</m:t>
        </m:r>
      </m:oMath>
      <w:r>
        <w:t xml:space="preserve"> </w:t>
      </w:r>
      <w:r>
        <w:t xml:space="preserve">= 0.08, 95%</w:t>
      </w:r>
      <w:r>
        <w:t xml:space="preserve"> </w:t>
      </w:r>
      <w:r>
        <w:rPr>
          <w:i/>
          <w:iCs/>
        </w:rPr>
        <w:t xml:space="preserve">CrI</w:t>
      </w:r>
      <w:r>
        <w:t xml:space="preserve"> </w:t>
      </w:r>
      <w:r>
        <w:t xml:space="preserve">[0.06, 0.10],</w:t>
      </w:r>
      <w:r>
        <w:t xml:space="preserve"> </w:t>
      </w:r>
      <w:r>
        <w:rPr>
          <w:i/>
          <w:iCs/>
        </w:rPr>
        <w:t xml:space="preserve">pd</w:t>
      </w:r>
      <w:r>
        <w:t xml:space="preserve"> </w:t>
      </w:r>
      <w:r>
        <w:t xml:space="preserve">= 100%) than for females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p>
    <w:p>
      <w:pPr>
        <w:pStyle w:val="BodyText"/>
      </w:pPr>
      <w:r>
        <w:t xml:space="preserve">Under incongruent trials, this pattern reversed for relevant stimuli: AI-generated images were rated as more arousing than photographic images.</w:t>
      </w:r>
      <w:r>
        <w:t xml:space="preserve"> </w:t>
      </w:r>
      <w:r>
        <w:t xml:space="preserve">This reversal was more pronounced in females (</w:t>
      </w:r>
      <m:oMath>
        <m:r>
          <m:t>Δ</m:t>
        </m:r>
      </m:oMath>
      <w:r>
        <w:t xml:space="preserve"> </w:t>
      </w:r>
      <w:r>
        <w:t xml:space="preserve">= −0.09, 95%</w:t>
      </w:r>
      <w:r>
        <w:t xml:space="preserve"> </w:t>
      </w:r>
      <w:r>
        <w:rPr>
          <w:i/>
          <w:iCs/>
        </w:rPr>
        <w:t xml:space="preserve">CrI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CrI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irrelevant and non-erotic stimuli, differences between photographic and AI-generated images were generally small and uncertain, with several credible intervals including zero.</w:t>
      </w:r>
      <w:r>
        <w:t xml:space="preserve"> </w:t>
      </w:r>
      <w:r>
        <w:t xml:space="preserve">Under congruent trials, males rated AI-generated non-erotic images as slightly less arousing than those labelled as photographs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100%).</w:t>
      </w:r>
      <w:r>
        <w:t xml:space="preserve"> </w:t>
      </w:r>
      <w:r>
        <w:t xml:space="preserve">Under incongruent trials, this pattern reversed; however, credible differences in arousal ratings of female erotic stimuli were observed only in females, with AI-generated labels associated with higher arousal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_means_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End w:id="79"/>
    <w:bookmarkEnd w:id="80"/>
    <w:bookmarkStart w:id="81" w:name="discussion"/>
    <w:p>
      <w:pPr>
        <w:pStyle w:val="Heading1"/>
      </w:pPr>
      <w:r>
        <w:t xml:space="preserve">Discussion</w:t>
      </w:r>
    </w:p>
    <w:p>
      <w:pPr>
        <w:pStyle w:val="FirstParagraph"/>
      </w:pPr>
      <w:r>
        <w:t xml:space="preserve">In our first study, we presented subjects (heterosexual males and females) with several images from the NAPS database, including non-erotic images and both irrelevant (same gender) and relevant (other gender) erotic images.</w:t>
      </w:r>
      <w:r>
        <w:t xml:space="preserve"> </w:t>
      </w:r>
      <w:r>
        <w:t xml:space="preserve">To manipulate subjects’ belief about the authenticity of the stimuli, each image was cued with a colored label presenting it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performed a manipulation check to assess the efficacy of our experimental manipulation by asking them to rate how realistic they deemed the image.</w:t>
      </w:r>
    </w:p>
    <w:p>
      <w:pPr>
        <w:pStyle w:val="BodyText"/>
      </w:pPr>
      <w:r>
        <w:t xml:space="preserve">In partial alignment with our H1 and with</w:t>
      </w:r>
      <w:r>
        <w:t xml:space="preserve"> </w:t>
      </w:r>
      <w:r>
        <w:t xml:space="preserve">Marini et al. (</w:t>
      </w:r>
      <w:hyperlink w:anchor="ref-marini2024real">
        <w:r>
          <w:rPr>
            <w:rStyle w:val="Hyperlink"/>
          </w:rPr>
          <w:t xml:space="preserve">2024</w:t>
        </w:r>
      </w:hyperlink>
      <w:r>
        <w:t xml:space="preserve">)</w:t>
      </w:r>
      <w:r>
        <w:t xml:space="preserve">, for male participants, images labelled as AI-generated were rated as slightly less arousing than those labelled as photographs.</w:t>
      </w:r>
      <w:r>
        <w:t xml:space="preserve"> </w:t>
      </w:r>
      <w:r>
        <w:t xml:space="preserve">For females, however, this pattern reversed. In both cases the effect size was small.</w:t>
      </w:r>
      <w:r>
        <w:t xml:space="preserve"> </w:t>
      </w:r>
      <w:r>
        <w:t xml:space="preserve">No credible differences between conditions emerged for irrelevant or non-erotic images, suggesting this gendered divergence was specific to sexually relevant content rather than a general labelling effect.</w:t>
      </w:r>
    </w:p>
    <w:p>
      <w:pPr>
        <w:pStyle w:val="BodyText"/>
      </w:pPr>
      <w:r>
        <w:t xml:space="preserve">As per H2, marginal contrasts indicated that males, but not females, rated relevant erotic images as more arousing than irrelevant erotic images.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r>
        <w:t xml:space="preserve"> </w:t>
      </w:r>
      <w:r>
        <w:t xml:space="preserve">The stimuli in the present study did not include depictions of couples, as the limitations of genAI at the time could have made them suspicious.</w:t>
      </w:r>
    </w:p>
    <w:p>
      <w:pPr>
        <w:pStyle w:val="BodyText"/>
      </w:pPr>
      <w:r>
        <w:t xml:space="preserve">Notably, the label promoted a minimal difference in ratings for both genders.</w:t>
      </w:r>
      <w:r>
        <w:t xml:space="preserve"> </w:t>
      </w:r>
      <w:r>
        <w:t xml:space="preserve">To further examine the role of stimulus evaluation, as per H3, we included congruency between the label presented in Phase 1 and participant’s realism ratings in Phase 2 as a predictor.</w:t>
      </w:r>
      <w:r>
        <w:t xml:space="preserve"> </w:t>
      </w:r>
      <w:r>
        <w:t xml:space="preserve">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w:t>
      </w:r>
      <w:r>
        <w:t xml:space="preserve"> </w:t>
      </w:r>
      <w:r>
        <w:t xml:space="preserve">One possible explanation is that the label manipulation was not sufficiently strong or salient to elicit differentiated responses across individuals.</w:t>
      </w:r>
    </w:p>
    <w:bookmarkEnd w:id="81"/>
    <w:bookmarkStart w:id="90" w:name="study-2"/>
    <w:p>
      <w:pPr>
        <w:pStyle w:val="Heading1"/>
      </w:pPr>
      <w:r>
        <w:t xml:space="preserve">Study 2</w:t>
      </w:r>
    </w:p>
    <w:p>
      <w:pPr>
        <w:pStyle w:val="FirstParagraph"/>
      </w:pPr>
      <w:r>
        <w:t xml:space="preserve">At the time of Study 1, limitations in genAI realism prevented convincing depictions of couples having sexual intercourse, so the role of relational context could not be tested directly.</w:t>
      </w:r>
      <w:r>
        <w:t xml:space="preserve"> </w:t>
      </w:r>
      <w:r>
        <w:t xml:space="preserve">Recent advances now make the (mis)labeling of realistic couple photographs as AI stimuli credible, making this test possible.</w:t>
      </w:r>
      <w:r>
        <w:t xml:space="preserve"> </w:t>
      </w:r>
      <w:r>
        <w:t xml:space="preserve">Given that (heterosexual) women’s arousal tends to be more sensitive to intimacy, narrative, and the presence of an interacting partner than men’s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we included couple-based stimuli in Study 2 to assess whether the absence of relational context contributed to the lower arousal ratings observed among female participants in Study 1.</w:t>
      </w:r>
    </w:p>
    <w:p>
      <w:pPr>
        <w:pStyle w:val="BodyText"/>
      </w:pPr>
      <w:r>
        <w:t xml:space="preserve">Second, in Study 1, marginal contrasts indicated credible differences in ratings between images labelled as AI-generated and those labelled as photographs only for relevant erotic stimuli, in both genders.</w:t>
      </w:r>
      <w:r>
        <w:t xml:space="preserve"> </w:t>
      </w:r>
      <w:r>
        <w:t xml:space="preserve">Study 2 therefore focused exclusively on erotic images relevant to participants’ gender and sexual orientation.</w:t>
      </w:r>
    </w:p>
    <w:p>
      <w:pPr>
        <w:pStyle w:val="BodyText"/>
      </w:pPr>
      <w:r>
        <w:t xml:space="preserve">Third, Study 1 demonstrated that the effect of AI labelling was small and showed minimal variability across participants, limiting our ability to examine individual differences.</w:t>
      </w:r>
      <w:r>
        <w:t xml:space="preserve"> </w:t>
      </w:r>
      <w:r>
        <w:t xml:space="preserve">Yet, given that this effect was greater when the manipulation was believed (as per our H3) to strengthen the effectiveness of the manipulation, Study 2 used a more elaborate cover story.</w:t>
      </w:r>
      <w:r>
        <w:t xml:space="preserve"> </w:t>
      </w:r>
      <w:r>
        <w:t xml:space="preserve">Moreover, the control task was more explicit, requiring the participants to commit to a judgement of whether each image was an actual photograph or AI-generated.</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crossover effect observed in Study 1, we hypothesised that this pattern would be stronger for congruent trials, and reverse for incongruent ones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4"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0.26, 95%</w:t>
      </w:r>
      <w:r>
        <w:t xml:space="preserve"> </w:t>
      </w:r>
      <w:r>
        <w:rPr>
          <w:i/>
          <w:iCs/>
        </w:rPr>
        <w:t xml:space="preserve">CrI</w:t>
      </w:r>
      <w:r>
        <w:t xml:space="preserve"> </w:t>
      </w:r>
      <w:r>
        <w:t xml:space="preserve">[−0.17, 0.69],</w:t>
      </w:r>
      <w:r>
        <w:t xml:space="preserve"> </w:t>
      </w:r>
      <w:r>
        <w:rPr>
          <w:i/>
          <w:iCs/>
        </w:rPr>
        <w:t xml:space="preserve">pd</w:t>
      </w:r>
      <w:r>
        <w:t xml:space="preserve"> </w:t>
      </w:r>
      <w:r>
        <w:t xml:space="preserve">= 88.6%).</w:t>
      </w:r>
      <w:r>
        <w:t xml:space="preserve"> </w:t>
      </w:r>
      <w:r>
        <w:t xml:space="preserve">Similarly, no credible group differences emerged for enticement or valence.</w:t>
      </w:r>
    </w:p>
    <w:bookmarkEnd w:id="91"/>
    <w:bookmarkStart w:id="103" w:name="marginal-contrasts-1"/>
    <w:p>
      <w:pPr>
        <w:pStyle w:val="Heading2"/>
      </w:pPr>
      <w:r>
        <w:t xml:space="preserve">Marginal contrasts</w:t>
      </w:r>
    </w:p>
    <w:bookmarkStart w:id="96" w:name="effect-of-type"/>
    <w:p>
      <w:pPr>
        <w:pStyle w:val="Heading3"/>
      </w:pPr>
      <w:r>
        <w:t xml:space="preserve">Effect of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CrI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CrI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differences in means where the pd &gt; 97.5%, indicating a consistent effect direction (Makowski et al., 2019).</w:t>
      </w:r>
    </w:p>
    <w:p>
      <w:pPr>
        <w:pStyle w:val="FigureWithoutNote"/>
      </w:pPr>
      <w:r>
        <w:drawing>
          <wp:inline>
            <wp:extent cx="5943600" cy="713232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5943600" cy="713232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CrI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CrI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0.06, 95%</w:t>
      </w:r>
      <w:r>
        <w:t xml:space="preserve"> </w:t>
      </w:r>
      <w:r>
        <w:rPr>
          <w:i/>
          <w:iCs/>
        </w:rPr>
        <w:t xml:space="preserve">CrI</w:t>
      </w:r>
      <w:r>
        <w:t xml:space="preserve"> </w:t>
      </w:r>
      <w:r>
        <w:t xml:space="preserve">[0.04, 0.07],</w:t>
      </w:r>
      <w:r>
        <w:t xml:space="preserve"> </w:t>
      </w:r>
      <w:r>
        <w:rPr>
          <w:i/>
          <w:iCs/>
        </w:rPr>
        <w:t xml:space="preserve">pd</w:t>
      </w:r>
      <w:r>
        <w:t xml:space="preserve"> </w:t>
      </w:r>
      <w:r>
        <w:t xml:space="preserve">= 100%) but not for females (</w:t>
      </w:r>
      <m:oMath>
        <m:r>
          <m:t>Δ</m:t>
        </m:r>
      </m:oMath>
      <w:r>
        <w:t xml:space="preserve"> </w:t>
      </w:r>
      <w:r>
        <w:t xml:space="preserve">= 0.01, 95%</w:t>
      </w:r>
      <w:r>
        <w:t xml:space="preserve"> </w:t>
      </w:r>
      <w:r>
        <w:rPr>
          <w:i/>
          <w:iCs/>
        </w:rPr>
        <w:t xml:space="preserve">CrI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w:t>
      </w:r>
      <w:r>
        <w:t xml:space="preserve"> </w:t>
      </w:r>
      <w:r>
        <w:t xml:space="preserve">Under congruent trials, images labelled as photographs were rated as more arousing for both genders, with a stronger effect for males (</w:t>
      </w:r>
      <m:oMath>
        <m:r>
          <m:t>Δ</m:t>
        </m:r>
      </m:oMath>
      <w:r>
        <w:t xml:space="preserve"> </w:t>
      </w:r>
      <w:r>
        <w:t xml:space="preserve">= 0.06, 95%</w:t>
      </w:r>
      <w:r>
        <w:t xml:space="preserve"> </w:t>
      </w:r>
      <w:r>
        <w:rPr>
          <w:i/>
          <w:iCs/>
        </w:rPr>
        <w:t xml:space="preserve">CrI</w:t>
      </w:r>
      <w:r>
        <w:t xml:space="preserve"> </w:t>
      </w:r>
      <w:r>
        <w:t xml:space="preserve">[0.04, 0.08], pd = 100%) than females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the direction of the effect reversed for males (</w:t>
      </w:r>
      <m:oMath>
        <m:r>
          <m:t>Δ</m:t>
        </m:r>
      </m:oMath>
      <w:r>
        <w:t xml:space="preserve"> </w:t>
      </w:r>
      <w:r>
        <w:t xml:space="preserve">= −0.02, 95%</w:t>
      </w:r>
      <w:r>
        <w:t xml:space="preserve"> </w:t>
      </w:r>
      <w:r>
        <w:rPr>
          <w:i/>
          <w:iCs/>
        </w:rPr>
        <w:t xml:space="preserve">CrI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CrI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CrI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_means"/>
    <w:p>
      <w:pPr>
        <w:pStyle w:val="FigureTitle"/>
      </w:pPr>
      <w:r>
        <w:t xml:space="preserve">Figure 5</w:t>
      </w:r>
    </w:p>
    <w:p>
      <w:pPr>
        <w:pStyle w:val="Caption"/>
      </w:pPr>
      <w:r>
        <w:t xml:space="preserve">Estimated arousal means for the effect of Condition depending on Congruency. Green rectangles represent differences in means where the pd &gt; 97.5%, indicating a consistent effect direction (Makowski et al., 2019).</w:t>
      </w:r>
    </w:p>
    <w:p>
      <w:pPr>
        <w:pStyle w:val="FigureWithoutNote"/>
      </w:pPr>
      <w:r>
        <w:drawing>
          <wp:inline>
            <wp:extent cx="4457700" cy="5349240"/>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457700" cy="5349240"/>
                    </a:xfrm>
                    <a:prstGeom prst="rect">
                      <a:avLst/>
                    </a:prstGeom>
                    <a:noFill/>
                    <a:ln w="9525">
                      <a:noFill/>
                      <a:headEnd/>
                      <a:tailEnd/>
                    </a:ln>
                  </pic:spPr>
                </pic:pic>
              </a:graphicData>
            </a:graphic>
          </wp:inline>
        </w:drawing>
      </w:r>
    </w:p>
    <w:bookmarkEnd w:id="101"/>
    <w:bookmarkEnd w:id="102"/>
    <w:bookmarkEnd w:id="103"/>
    <w:bookmarkEnd w:id="104"/>
    <w:bookmarkStart w:id="105"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5"/>
    <w:bookmarkStart w:id="106"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6"/>
    <w:bookmarkStart w:id="189" w:name="references"/>
    <w:p>
      <w:pPr>
        <w:pStyle w:val="Heading1"/>
      </w:pPr>
      <w:r>
        <w:t xml:space="preserve">References</w:t>
      </w:r>
    </w:p>
    <w:bookmarkStart w:id="188" w:name="refs"/>
    <w:bookmarkStart w:id="107"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7"/>
    <w:bookmarkStart w:id="108"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8"/>
    <w:bookmarkStart w:id="109"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09"/>
    <w:bookmarkStart w:id="110"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0"/>
    <w:bookmarkStart w:id="111"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1"/>
    <w:bookmarkStart w:id="112"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2"/>
    <w:bookmarkStart w:id="114"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3">
        <w:r>
          <w:rPr>
            <w:rStyle w:val="Hyperlink"/>
          </w:rPr>
          <w:t xml:space="preserve">https://cdn.openai.com/papers/dall-e-3.pdf</w:t>
        </w:r>
      </w:hyperlink>
    </w:p>
    <w:bookmarkEnd w:id="114"/>
    <w:bookmarkStart w:id="115"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5"/>
    <w:bookmarkStart w:id="116"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6"/>
    <w:bookmarkStart w:id="117"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7"/>
    <w:bookmarkStart w:id="118"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8"/>
    <w:bookmarkStart w:id="119"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19"/>
    <w:bookmarkStart w:id="120"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0"/>
    <w:bookmarkStart w:id="121"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1"/>
    <w:bookmarkStart w:id="122"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2"/>
    <w:bookmarkStart w:id="123"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3"/>
    <w:bookmarkStart w:id="124"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4"/>
    <w:bookmarkStart w:id="125"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2" w:name="ref-correlationPackage"/>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161">
        <w:r>
          <w:rPr>
            <w:rStyle w:val="Hyperlink"/>
          </w:rPr>
          <w:t xml:space="preserve">https://CRAN.R-project.org/package=correlation</w:t>
        </w:r>
      </w:hyperlink>
    </w:p>
    <w:bookmarkEnd w:id="162"/>
    <w:bookmarkStart w:id="163"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3"/>
    <w:bookmarkStart w:id="164"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4"/>
    <w:bookmarkStart w:id="165"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5"/>
    <w:bookmarkStart w:id="166"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6"/>
    <w:bookmarkStart w:id="167"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7"/>
    <w:bookmarkStart w:id="168"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8"/>
    <w:bookmarkStart w:id="169"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9"/>
    <w:bookmarkStart w:id="170"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70"/>
    <w:bookmarkStart w:id="171"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71"/>
    <w:bookmarkStart w:id="172"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2"/>
    <w:bookmarkStart w:id="173"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3"/>
    <w:bookmarkStart w:id="174"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4"/>
    <w:bookmarkStart w:id="175"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5"/>
    <w:bookmarkStart w:id="176"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6"/>
    <w:bookmarkStart w:id="177"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7"/>
    <w:bookmarkStart w:id="178"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8"/>
    <w:bookmarkStart w:id="179"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9"/>
    <w:bookmarkStart w:id="180"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80"/>
    <w:bookmarkStart w:id="181"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81"/>
    <w:bookmarkStart w:id="182"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2"/>
    <w:bookmarkStart w:id="183"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3"/>
    <w:bookmarkStart w:id="184"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4"/>
    <w:bookmarkStart w:id="185"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5"/>
    <w:bookmarkStart w:id="186"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6"/>
    <w:bookmarkStart w:id="187"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7"/>
    <w:bookmarkEnd w:id="188"/>
    <w:sectPr>
      <w:lnNumType w:countBy="1" w:restart="continuous"/>
    </w:sectPr>
    <w:bookmarkEnd w:id="1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_rels/footnotes.xml.rels><?xml version="1.0" encoding="UTF-8"?><Relationships xmlns="http://schemas.openxmlformats.org/package/2006/relationships"><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keyword1, keyword2, keyword3</cp:keywords>
  <dcterms:created xsi:type="dcterms:W3CDTF">2026-07-23T16:00:50Z</dcterms:created>
  <dcterms:modified xsi:type="dcterms:W3CDTF">2026-07-23T16:00:50Z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8505</vt:lpwstr>
  </property>
  <property fmtid="{D5CDD505-2E9C-101B-9397-08002B2CF9AE}" pid="65" name="zerocitations">
    <vt:lpwstr>False</vt:lpwstr>
  </property>
</Properties>
</file>