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Guido Corradi</w:t>
      </w:r>
      <w:r>
        <w:rPr>
          <w:vertAlign w:val="superscript"/>
        </w:rPr>
        <w:t xml:space="preserve">4</w:t>
      </w:r>
      <w:r>
        <w:t xml:space="preserve">, Antonio Olivera-La Rosa</w:t>
      </w:r>
      <w:r>
        <w:rPr>
          <w:vertAlign w:val="superscript"/>
        </w:rPr>
        <w:t xml:space="preserve">4</w:t>
      </w:r>
      <w:r>
        <w:t xml:space="preserve">, Alessandro Ansani</w:t>
      </w:r>
      <w:r>
        <w:rPr>
          <w:vertAlign w:val="superscript"/>
        </w:rPr>
        <w:t xml:space="preserve">4</w:t>
      </w:r>
      <w:r>
        <w:t xml:space="preserve">, Marco Marini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Social Psychology and Organization, Universidad Nacional de Educación a Distancia</w:t>
      </w:r>
    </w:p>
    <w:p>
      <w:pPr>
        <w:pStyle w:val="Author"/>
      </w:pPr>
      <w:r>
        <w:rPr>
          <w:vertAlign w:val="superscript"/>
        </w:rPr>
        <w:t xml:space="preserve">5</w:t>
      </w:r>
      <w:r>
        <w:t xml:space="preserve">Department of Psychology and Social Sciences, Universidad Católica Luis Amigó</w:t>
      </w:r>
    </w:p>
    <w:p>
      <w:pPr>
        <w:pStyle w:val="Author"/>
      </w:pPr>
      <w:r>
        <w:rPr>
          <w:vertAlign w:val="superscript"/>
        </w:rPr>
        <w:t xml:space="preserve">6</w:t>
      </w:r>
      <w:r>
        <w:t xml:space="preserve">Department of Music, Art and Culture Studies, University of Jyväskylä</w:t>
      </w:r>
    </w:p>
    <w:p>
      <w:pPr>
        <w:pStyle w:val="Author"/>
      </w:pPr>
      <w:r>
        <w:rPr>
          <w:vertAlign w:val="superscript"/>
        </w:rPr>
        <w:t xml:space="preserve">7</w:t>
      </w:r>
      <w:r>
        <w:t xml:space="preserve">Institute of Cognitive Sciences and Technologies</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Guido Corradi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https://orcid.org/0000-0001-9163-6829</w:t>
        </w:r>
      </w:hyperlink>
    </w:p>
    <w:p>
      <w:pPr>
        <w:pStyle w:val="BodyText"/>
      </w:pPr>
      <w:r>
        <w:t xml:space="preserve">Antonio Olivera-La Rosa</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https://orcid.org/0000-0001-7637-8518</w:t>
        </w:r>
      </w:hyperlink>
    </w:p>
    <w:p>
      <w:pPr>
        <w:pStyle w:val="BodyText"/>
      </w:pPr>
      <w:r>
        <w:t xml:space="preserve">Alessandro Ansani</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https://orcid.org/0000-0002-0657-5732</w:t>
        </w:r>
      </w:hyperlink>
    </w:p>
    <w:p>
      <w:pPr>
        <w:pStyle w:val="BodyText"/>
      </w:pPr>
      <w:r>
        <w:t xml:space="preserve">Marco Marini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https://orcid.org/0000-0001-5466-8194</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methodology, visualization, writing – original draft, and writing – review &amp; editing. </w:t>
      </w:r>
      <w:r>
        <w:rPr>
          <w:i/>
          <w:iCs/>
        </w:rPr>
        <w:t xml:space="preserve">Marco Viola</w:t>
      </w:r>
      <w:r>
        <w:rPr>
          <w:b/>
          <w:bCs/>
        </w:rPr>
        <w:t xml:space="preserve">: </w:t>
      </w:r>
      <w:r>
        <w:t xml:space="preserve">conceptualization, funding acquisition, investigation, project administration, supervision, writing – original draft, and writing – review &amp; editing. </w:t>
      </w:r>
      <w:r>
        <w:rPr>
          <w:i/>
          <w:iCs/>
        </w:rPr>
        <w:t xml:space="preserve">Marco Sperduti</w:t>
      </w:r>
      <w:r>
        <w:rPr>
          <w:b/>
          <w:bCs/>
        </w:rPr>
        <w:t xml:space="preserve">: </w:t>
      </w:r>
      <w:r>
        <w:t xml:space="preserve">supervision, writing – original draft, and writing – review &amp; editing. </w:t>
      </w:r>
      <w:r>
        <w:rPr>
          <w:i/>
          <w:iCs/>
        </w:rPr>
        <w:t xml:space="preserve">Guido Corradi</w:t>
      </w:r>
      <w:r>
        <w:rPr>
          <w:b/>
          <w:bCs/>
        </w:rPr>
        <w:t xml:space="preserve">: </w:t>
      </w:r>
      <w:r>
        <w:t xml:space="preserve">funding acquisition, investigation, and writing – review &amp; editing. </w:t>
      </w:r>
      <w:r>
        <w:rPr>
          <w:i/>
          <w:iCs/>
        </w:rPr>
        <w:t xml:space="preserve">Antonio Olivera-La Rosa</w:t>
      </w:r>
      <w:r>
        <w:rPr>
          <w:b/>
          <w:bCs/>
        </w:rPr>
        <w:t xml:space="preserve">: </w:t>
      </w:r>
      <w:r>
        <w:t xml:space="preserve">investigation and writing – review &amp; editing. </w:t>
      </w:r>
      <w:r>
        <w:rPr>
          <w:i/>
          <w:iCs/>
        </w:rPr>
        <w:t xml:space="preserve">Alessandro Ansani</w:t>
      </w:r>
      <w:r>
        <w:rPr>
          <w:b/>
          <w:bCs/>
        </w:rPr>
        <w:t xml:space="preserve">: </w:t>
      </w:r>
      <w:r>
        <w:t xml:space="preserve">conceptualization and formal analysis. </w:t>
      </w:r>
      <w:r>
        <w:rPr>
          <w:i/>
          <w:iCs/>
        </w:rPr>
        <w:t xml:space="preserve">Marco Marini</w:t>
      </w:r>
      <w:r>
        <w:rPr>
          <w:b/>
          <w:bCs/>
        </w:rPr>
        <w:t xml:space="preserve">: </w:t>
      </w:r>
      <w:r>
        <w:t xml:space="preserve">conceptualization. </w:t>
      </w:r>
      <w:r>
        <w:rPr>
          <w:i/>
          <w:iCs/>
        </w:rPr>
        <w:t xml:space="preserve">Dominique Makowski</w:t>
      </w:r>
      <w:r>
        <w:rPr>
          <w:b/>
          <w:bCs/>
        </w:rPr>
        <w:t xml:space="preserve">: </w:t>
      </w:r>
      <w:r>
        <w:t xml:space="preserve">conceptualization, data curation, formal analysis, funding acquisition, investigation, methodology, project administration, supervision, validation, visualization, writing – original draft, and writing – review &amp; editing</w:t>
      </w:r>
    </w:p>
    <w:p>
      <w:pPr>
        <w:pStyle w:val="BodyText"/>
      </w:pPr>
      <w:r>
        <w:t xml:space="preserve">Correspondence concerning this article should be addressed to Marco Viola, Department of Philosophy, Communication, and Performing Arts, Roma Tre University, Email:</w:t>
      </w:r>
      <w:r>
        <w:t xml:space="preserve"> </w:t>
      </w:r>
      <w:hyperlink r:id="rId54">
        <w:r>
          <w:rPr>
            <w:rStyle w:val="Hyperlink"/>
          </w:rPr>
          <w:t xml:space="preserve">marco.viola@uniroma3.it</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AI-generated, beliefs, gender differences, affective ratings</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females were categorized as relevant for heterosexual males, and irrelevant for heterosexual females, and vice versa for pictures of males).</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−0.02) than participants who did not report this belief (M</w:t>
      </w:r>
      <w:r>
        <w:rPr>
          <w:vertAlign w:val="subscript"/>
        </w:rPr>
        <w:t xml:space="preserve">difference</w:t>
      </w:r>
      <w:r>
        <w:t xml:space="preserve"> </w:t>
      </w:r>
      <w:r>
        <w:t xml:space="preserve">≈ 0).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the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stimulus types (female, male and non-erotic images) elicit dissimilar responses, marginal contrasts from the mixed models were examined, focusing on the effect of relevance.</w:t>
      </w:r>
      <w:r>
        <w:t xml:space="preserve"> </w:t>
      </w:r>
      <w:r>
        <w:t xml:space="preserve">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labelled as photographs were rated as slightly more arousing than those labelled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w:t>
      </w:r>
      <w:r>
        <w:t xml:space="preserve"> </w:t>
      </w:r>
      <w:r>
        <w:t xml:space="preserve">Females showed the opposite pattern, rating male erotic images labelled as AI-generated marginally higher than those labelled as photographs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 (see</w:t>
      </w:r>
      <w:r>
        <w:t xml:space="preserve"> </w:t>
      </w:r>
      <w:hyperlink w:anchor="fig-estimated_means_arousal">
        <w:r>
          <w:rPr>
            <w:rStyle w:val="Hyperlink"/>
          </w:rPr>
          <w:t xml:space="preserve">Figure 2</w:t>
        </w:r>
      </w:hyperlink>
      <w:r>
        <w:t xml:space="preserve">).</w:t>
      </w:r>
      <w:r>
        <w:t xml:space="preserve"> </w:t>
      </w:r>
      <w:r>
        <w:t xml:space="preserve">In congruent trials, males rated female erotic images labelled as photographs as more arousing than those labelled as AI-generated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and females showed the same pattern for male erotic images, with a slightly smaller effect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 and several credible intervals included zero.</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however,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data,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4754880" cy="475488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754880" cy="475488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 (see</w:t>
      </w:r>
      <w:r>
        <w:t xml:space="preserve"> </w:t>
      </w:r>
      <w:hyperlink w:anchor="fig-arousal_means">
        <w:r>
          <w:rPr>
            <w:rStyle w:val="Hyperlink"/>
          </w:rPr>
          <w:t xml:space="preserve">Figure 5</w:t>
        </w:r>
      </w:hyperlink>
      <w:r>
        <w:t xml:space="preserv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754880" cy="4754880"/>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4754880"/>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9" Target="https://orcid.org/0000-0001-5466-8194" TargetMode="External" /><Relationship Type="http://schemas.openxmlformats.org/officeDocument/2006/relationships/hyperlink" Id="rId41"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37" Target="https://orcid.org/0000-0001-9163-6829" TargetMode="External" /><Relationship Type="http://schemas.openxmlformats.org/officeDocument/2006/relationships/hyperlink" Id="rId45"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marco.viola@uniroma3.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AI-generated, beliefs, gender differences, affective ratings</cp:keywords>
  <dcterms:created xsi:type="dcterms:W3CDTF">2026-07-29T16:29:21Z</dcterms:created>
  <dcterms:modified xsi:type="dcterms:W3CDTF">2026-07-29T16:29:21Z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8528</vt:lpwstr>
  </property>
  <property fmtid="{D5CDD505-2E9C-101B-9397-08002B2CF9AE}" pid="65" name="zerocitations">
    <vt:lpwstr>False</vt:lpwstr>
  </property>
</Properties>
</file>