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F4A16" w14:textId="77777777" w:rsidR="00A103B1" w:rsidRPr="00E52126" w:rsidRDefault="00000000">
      <w:pPr>
        <w:spacing w:after="240"/>
        <w:jc w:val="both"/>
        <w:rPr>
          <w:rFonts w:asciiTheme="majorBidi" w:hAnsiTheme="majorBidi" w:cstheme="majorBidi"/>
        </w:rPr>
      </w:pPr>
      <w:r w:rsidRPr="00E52126">
        <w:rPr>
          <w:rFonts w:asciiTheme="majorBidi" w:hAnsiTheme="majorBidi" w:cstheme="majorBidi"/>
        </w:rPr>
        <w:t>Dear Editors,</w:t>
      </w:r>
    </w:p>
    <w:p w14:paraId="2E49D6AE" w14:textId="701E426D" w:rsidR="00A103B1" w:rsidRPr="00E52126" w:rsidRDefault="00000000">
      <w:pPr>
        <w:spacing w:after="240"/>
        <w:jc w:val="both"/>
        <w:rPr>
          <w:rFonts w:asciiTheme="majorBidi" w:hAnsiTheme="majorBidi" w:cstheme="majorBidi"/>
        </w:rPr>
      </w:pPr>
      <w:r w:rsidRPr="00E52126">
        <w:rPr>
          <w:rFonts w:asciiTheme="majorBidi" w:hAnsiTheme="majorBidi" w:cstheme="majorBidi"/>
        </w:rPr>
        <w:t xml:space="preserve">We are pleased to submit our Stage 2 Registered Report for consideration by PCI-RR. This manuscript presents the completed data collection and analysis for our registered </w:t>
      </w:r>
      <w:r w:rsidR="00E52126" w:rsidRPr="00E52126">
        <w:rPr>
          <w:rFonts w:asciiTheme="majorBidi" w:hAnsiTheme="majorBidi" w:cstheme="majorBidi"/>
        </w:rPr>
        <w:t>report</w:t>
      </w:r>
      <w:r w:rsidRPr="00E52126">
        <w:rPr>
          <w:rFonts w:asciiTheme="majorBidi" w:hAnsiTheme="majorBidi" w:cstheme="majorBidi"/>
        </w:rPr>
        <w:t>, which received in-</w:t>
      </w:r>
      <w:proofErr w:type="gramStart"/>
      <w:r w:rsidRPr="00E52126">
        <w:rPr>
          <w:rFonts w:asciiTheme="majorBidi" w:hAnsiTheme="majorBidi" w:cstheme="majorBidi"/>
        </w:rPr>
        <w:t>principle</w:t>
      </w:r>
      <w:proofErr w:type="gramEnd"/>
      <w:r w:rsidRPr="00E52126">
        <w:rPr>
          <w:rFonts w:asciiTheme="majorBidi" w:hAnsiTheme="majorBidi" w:cstheme="majorBidi"/>
        </w:rPr>
        <w:t xml:space="preserve"> acceptance on 5 December 2025 (OSF pre-registration: https://osf.io/kvjnm).</w:t>
      </w:r>
    </w:p>
    <w:p w14:paraId="61BD9CE3" w14:textId="77777777" w:rsidR="00A103B1" w:rsidRPr="00E52126" w:rsidRDefault="00000000">
      <w:pPr>
        <w:spacing w:after="240"/>
        <w:jc w:val="both"/>
        <w:rPr>
          <w:rFonts w:asciiTheme="majorBidi" w:hAnsiTheme="majorBidi" w:cstheme="majorBidi"/>
        </w:rPr>
      </w:pPr>
      <w:r w:rsidRPr="00E52126">
        <w:rPr>
          <w:rFonts w:asciiTheme="majorBidi" w:hAnsiTheme="majorBidi" w:cstheme="majorBidi"/>
        </w:rPr>
        <w:t>The study aimed to replicate and extend Lush et al. (2022) by examining the relationship between trait phenomenological control (PC) and visual illusion sensitivity across three illusion types (Ebbinghaus, Müller-Lyer, and Vertical-Horizontal), assessed via the Illusion Game paradigm (Makowski et al., 2023). We also explored associations between illusion sensitivity and the psychoticism facet of the PID-5, as a proxy for schizophrenia-related traits. Five hundred English-speaking adults were recruited online via Prolific, and Bayesian correlation analyses were used as the primary inferential framework, in accordance with the registered protocol.</w:t>
      </w:r>
    </w:p>
    <w:p w14:paraId="127881EF" w14:textId="19C435D9" w:rsidR="00A103B1" w:rsidRPr="00E52126" w:rsidRDefault="00000000">
      <w:pPr>
        <w:spacing w:after="240"/>
        <w:jc w:val="both"/>
        <w:rPr>
          <w:rFonts w:asciiTheme="majorBidi" w:hAnsiTheme="majorBidi" w:cstheme="majorBidi"/>
        </w:rPr>
      </w:pPr>
      <w:r w:rsidRPr="00E52126">
        <w:rPr>
          <w:rFonts w:asciiTheme="majorBidi" w:hAnsiTheme="majorBidi" w:cstheme="majorBidi"/>
        </w:rPr>
        <w:t xml:space="preserve">The study was conducted in close accordance with the accepted Stage 1 protocol. We report two minor, well-justified deviations from the pre-registration, both of which are fully documented in the manuscript. </w:t>
      </w:r>
      <w:r w:rsidR="00E52126" w:rsidRPr="00E52126">
        <w:rPr>
          <w:rFonts w:asciiTheme="majorBidi" w:hAnsiTheme="majorBidi" w:cstheme="majorBidi"/>
        </w:rPr>
        <w:t>Notably, t</w:t>
      </w:r>
      <w:r w:rsidRPr="00E52126">
        <w:rPr>
          <w:rFonts w:asciiTheme="majorBidi" w:hAnsiTheme="majorBidi" w:cstheme="majorBidi"/>
        </w:rPr>
        <w:t>hese deviations did not alter the overall pattern of findings.</w:t>
      </w:r>
    </w:p>
    <w:p w14:paraId="68C57AA4" w14:textId="77777777" w:rsidR="00A103B1" w:rsidRPr="00E52126" w:rsidRDefault="00000000">
      <w:pPr>
        <w:spacing w:after="240"/>
        <w:jc w:val="both"/>
        <w:rPr>
          <w:rFonts w:asciiTheme="majorBidi" w:hAnsiTheme="majorBidi" w:cstheme="majorBidi"/>
        </w:rPr>
      </w:pPr>
      <w:r w:rsidRPr="00E52126">
        <w:rPr>
          <w:rFonts w:asciiTheme="majorBidi" w:hAnsiTheme="majorBidi" w:cstheme="majorBidi"/>
        </w:rPr>
        <w:t>Consistent with our primary hypothesis and in replication of Lush et al. (2022), Bayesian analyses provided evidence for an absence of a relationship between trait phenomenological control and visual illusion sensitivity across all three illusion types and both outcome measures (error rate and Inverse Efficiency Score). These findings extend the null result to a behavioural, non-metacognitive paradigm and support the hypothesis that visual illusions are, to a substantial degree, cognitively impenetrable. Against our secondary hypothesis, we also found no evidence of an association between illusion sensitivity and psychoticism, a finding we discuss in terms of methodological limitations, including the use of simple summary indices and a limited number of illusion types.</w:t>
      </w:r>
    </w:p>
    <w:p w14:paraId="0859E72C" w14:textId="77777777" w:rsidR="00A103B1" w:rsidRPr="00E52126" w:rsidRDefault="00000000">
      <w:pPr>
        <w:spacing w:after="240"/>
        <w:jc w:val="both"/>
        <w:rPr>
          <w:rFonts w:asciiTheme="majorBidi" w:hAnsiTheme="majorBidi" w:cstheme="majorBidi"/>
        </w:rPr>
      </w:pPr>
      <w:r w:rsidRPr="00E52126">
        <w:rPr>
          <w:rFonts w:asciiTheme="majorBidi" w:hAnsiTheme="majorBidi" w:cstheme="majorBidi"/>
        </w:rPr>
        <w:t>We believe this Stage 2 submission meets the requirements for acceptance as a Registered Report, having adhered closely to the pre-registered hypotheses, sample size, analysis plan, and interpretation criteria. We are grateful to the recommenders and reviewers who provided feedback at Stage 1 and look forward to their evaluation of the completed work.</w:t>
      </w:r>
    </w:p>
    <w:p w14:paraId="150C1A35" w14:textId="1B3CEEB9" w:rsidR="00E52126" w:rsidRDefault="00E52126" w:rsidP="00E52126">
      <w:pPr>
        <w:rPr>
          <w:rFonts w:asciiTheme="majorBidi" w:hAnsiTheme="majorBidi" w:cstheme="majorBidi"/>
        </w:rPr>
      </w:pPr>
      <w:r w:rsidRPr="00E52126">
        <w:rPr>
          <w:rFonts w:asciiTheme="majorBidi" w:hAnsiTheme="majorBidi" w:cstheme="majorBidi"/>
        </w:rPr>
        <w:t>There is no conflict of interest to disclose. All authors have approved the manuscript and agree with its submission.</w:t>
      </w:r>
      <w:r w:rsidRPr="00E52126">
        <w:rPr>
          <w:rFonts w:asciiTheme="majorBidi" w:hAnsiTheme="majorBidi" w:cstheme="majorBidi"/>
        </w:rPr>
        <w:t xml:space="preserve"> </w:t>
      </w:r>
    </w:p>
    <w:p w14:paraId="69C4413C" w14:textId="77777777" w:rsidR="00E52126" w:rsidRPr="00E52126" w:rsidRDefault="00E52126" w:rsidP="00E52126">
      <w:pPr>
        <w:rPr>
          <w:rFonts w:asciiTheme="majorBidi" w:hAnsiTheme="majorBidi" w:cstheme="majorBidi"/>
        </w:rPr>
      </w:pPr>
    </w:p>
    <w:p w14:paraId="14406F1E" w14:textId="77777777" w:rsidR="00E52126" w:rsidRPr="00157EC3" w:rsidRDefault="00E52126" w:rsidP="00E52126">
      <w:pPr>
        <w:rPr>
          <w:rFonts w:asciiTheme="majorBidi" w:hAnsiTheme="majorBidi" w:cstheme="majorBidi"/>
          <w:sz w:val="22"/>
          <w:szCs w:val="22"/>
        </w:rPr>
      </w:pPr>
      <w:r w:rsidRPr="00157EC3">
        <w:rPr>
          <w:rFonts w:asciiTheme="majorBidi" w:hAnsiTheme="majorBidi" w:cstheme="majorBidi"/>
          <w:sz w:val="22"/>
          <w:szCs w:val="22"/>
        </w:rPr>
        <w:t>On behalf of all the authors,</w:t>
      </w:r>
    </w:p>
    <w:p w14:paraId="06F3A034" w14:textId="77777777" w:rsidR="00E52126" w:rsidRPr="00157EC3" w:rsidRDefault="00E52126" w:rsidP="00E52126">
      <w:pPr>
        <w:jc w:val="right"/>
        <w:rPr>
          <w:rFonts w:asciiTheme="majorBidi" w:hAnsiTheme="majorBidi" w:cstheme="majorBidi"/>
          <w:sz w:val="22"/>
          <w:szCs w:val="22"/>
          <w:lang w:val="es-ES"/>
        </w:rPr>
      </w:pPr>
      <w:r w:rsidRPr="00157EC3">
        <w:rPr>
          <w:rFonts w:asciiTheme="majorBidi" w:hAnsiTheme="majorBidi" w:cstheme="majorBidi"/>
          <w:sz w:val="22"/>
          <w:szCs w:val="22"/>
          <w:lang w:val="es-ES"/>
        </w:rPr>
        <w:t>Ana Neves</w:t>
      </w:r>
    </w:p>
    <w:p w14:paraId="4B55973F" w14:textId="77777777" w:rsidR="00E52126" w:rsidRPr="00157EC3" w:rsidRDefault="00E52126" w:rsidP="00E52126">
      <w:pPr>
        <w:jc w:val="right"/>
        <w:rPr>
          <w:rFonts w:asciiTheme="majorBidi" w:hAnsiTheme="majorBidi" w:cstheme="majorBidi"/>
          <w:sz w:val="22"/>
          <w:szCs w:val="22"/>
          <w:lang w:val="es-ES"/>
        </w:rPr>
      </w:pPr>
      <w:r w:rsidRPr="00157EC3">
        <w:rPr>
          <w:rFonts w:asciiTheme="majorBidi" w:hAnsiTheme="majorBidi" w:cstheme="majorBidi"/>
          <w:sz w:val="22"/>
          <w:szCs w:val="22"/>
          <w:lang w:val="es-ES"/>
        </w:rPr>
        <w:t>A.Neves@sussex.ac.uk</w:t>
      </w:r>
    </w:p>
    <w:p w14:paraId="36460E3D" w14:textId="261F2CF3" w:rsidR="00A103B1" w:rsidRPr="00E52126" w:rsidRDefault="00A103B1">
      <w:pPr>
        <w:spacing w:after="80"/>
        <w:rPr>
          <w:rFonts w:asciiTheme="majorBidi" w:hAnsiTheme="majorBidi" w:cstheme="majorBidi"/>
          <w:lang w:val="es-ES"/>
        </w:rPr>
      </w:pPr>
    </w:p>
    <w:sectPr w:rsidR="00A103B1" w:rsidRPr="00E5212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C61A3E"/>
    <w:multiLevelType w:val="hybridMultilevel"/>
    <w:tmpl w:val="82E62BFC"/>
    <w:lvl w:ilvl="0" w:tplc="BE463CD2">
      <w:start w:val="1"/>
      <w:numFmt w:val="bullet"/>
      <w:lvlText w:val="●"/>
      <w:lvlJc w:val="left"/>
      <w:pPr>
        <w:ind w:left="720" w:hanging="360"/>
      </w:pPr>
    </w:lvl>
    <w:lvl w:ilvl="1" w:tplc="98625DE6">
      <w:start w:val="1"/>
      <w:numFmt w:val="bullet"/>
      <w:lvlText w:val="○"/>
      <w:lvlJc w:val="left"/>
      <w:pPr>
        <w:ind w:left="1440" w:hanging="360"/>
      </w:pPr>
    </w:lvl>
    <w:lvl w:ilvl="2" w:tplc="BF5A86DE">
      <w:start w:val="1"/>
      <w:numFmt w:val="bullet"/>
      <w:lvlText w:val="■"/>
      <w:lvlJc w:val="left"/>
      <w:pPr>
        <w:ind w:left="2160" w:hanging="360"/>
      </w:pPr>
    </w:lvl>
    <w:lvl w:ilvl="3" w:tplc="8D14A9DE">
      <w:start w:val="1"/>
      <w:numFmt w:val="bullet"/>
      <w:lvlText w:val="●"/>
      <w:lvlJc w:val="left"/>
      <w:pPr>
        <w:ind w:left="2880" w:hanging="360"/>
      </w:pPr>
    </w:lvl>
    <w:lvl w:ilvl="4" w:tplc="4C7ED92C">
      <w:start w:val="1"/>
      <w:numFmt w:val="bullet"/>
      <w:lvlText w:val="○"/>
      <w:lvlJc w:val="left"/>
      <w:pPr>
        <w:ind w:left="3600" w:hanging="360"/>
      </w:pPr>
    </w:lvl>
    <w:lvl w:ilvl="5" w:tplc="2ADE0250">
      <w:start w:val="1"/>
      <w:numFmt w:val="bullet"/>
      <w:lvlText w:val="■"/>
      <w:lvlJc w:val="left"/>
      <w:pPr>
        <w:ind w:left="4320" w:hanging="360"/>
      </w:pPr>
    </w:lvl>
    <w:lvl w:ilvl="6" w:tplc="F6B4E4A0">
      <w:start w:val="1"/>
      <w:numFmt w:val="bullet"/>
      <w:lvlText w:val="●"/>
      <w:lvlJc w:val="left"/>
      <w:pPr>
        <w:ind w:left="5040" w:hanging="360"/>
      </w:pPr>
    </w:lvl>
    <w:lvl w:ilvl="7" w:tplc="912E24C2">
      <w:start w:val="1"/>
      <w:numFmt w:val="bullet"/>
      <w:lvlText w:val="●"/>
      <w:lvlJc w:val="left"/>
      <w:pPr>
        <w:ind w:left="5760" w:hanging="360"/>
      </w:pPr>
    </w:lvl>
    <w:lvl w:ilvl="8" w:tplc="B218C748">
      <w:start w:val="1"/>
      <w:numFmt w:val="bullet"/>
      <w:lvlText w:val="●"/>
      <w:lvlJc w:val="left"/>
      <w:pPr>
        <w:ind w:left="6480" w:hanging="360"/>
      </w:pPr>
    </w:lvl>
  </w:abstractNum>
  <w:num w:numId="1" w16cid:durableId="12491485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3B1"/>
    <w:rsid w:val="00804966"/>
    <w:rsid w:val="009422C9"/>
    <w:rsid w:val="00A103B1"/>
    <w:rsid w:val="00E42CC4"/>
    <w:rsid w:val="00E52126"/>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345AB"/>
  <w15:docId w15:val="{8BFEE9E3-676E-40FD-9C69-40EB466ED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380</Words>
  <Characters>2168</Characters>
  <Application>Microsoft Office Word</Application>
  <DocSecurity>0</DocSecurity>
  <Lines>18</Lines>
  <Paragraphs>5</Paragraphs>
  <ScaleCrop>false</ScaleCrop>
  <Company>University of Sussex</Company>
  <LinksUpToDate>false</LinksUpToDate>
  <CharactersWithSpaces>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 Neves</cp:lastModifiedBy>
  <cp:revision>2</cp:revision>
  <dcterms:created xsi:type="dcterms:W3CDTF">2026-06-15T11:43:00Z</dcterms:created>
  <dcterms:modified xsi:type="dcterms:W3CDTF">2026-06-15T11:43:00Z</dcterms:modified>
</cp:coreProperties>
</file>