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1.svg" ContentType="image/svg+xml"/>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Dominique Makowski</w:t>
      </w:r>
      <w:r>
        <w:t xml:space="preserve"> </w:t>
      </w:r>
      <w:bookmarkStart w:id="24" w:name="orchid"/>
      <w:r>
        <w:drawing>
          <wp:inline>
            <wp:extent cx="152400" cy="152400"/>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400" cy="152400"/>
                    </a:xfrm>
                    <a:prstGeom prst="rect">
                      <a:avLst/>
                    </a:prstGeom>
                    <a:noFill/>
                    <a:ln w="9525">
                      <a:noFill/>
                      <a:headEnd/>
                      <a:tailEnd/>
                    </a:ln>
                  </pic:spPr>
                </pic:pic>
              </a:graphicData>
            </a:graphic>
          </wp:inline>
        </w:drawing>
      </w:r>
      <w:bookmarkEnd w:id="24"/>
      <w:r>
        <w:t xml:space="preserve"> </w:t>
      </w:r>
      <w:r>
        <w:t xml:space="preserve">http://orcid.org/0000-0001-5375-9967</w:t>
      </w:r>
    </w:p>
    <w:p>
      <w:pPr>
        <w:pStyle w:val="BodyText"/>
      </w:pPr>
      <w:r>
        <w:t xml:space="preserve">Ana Neves</w:t>
      </w:r>
      <w:r>
        <w:t xml:space="preserve"> </w:t>
      </w:r>
      <w:bookmarkStart w:id="27" w:name="orchid"/>
      <w:r>
        <w:drawing>
          <wp:inline>
            <wp:extent cx="152400" cy="152400"/>
            <wp:effectExtent b="0" l="0" r="0" t="0"/>
            <wp:docPr descr="Orcid ID Logo: A green circle with white letters ID" title="" id="25" name="Picture"/>
            <a:graphic>
              <a:graphicData uri="http://schemas.openxmlformats.org/drawingml/2006/picture">
                <pic:pic>
                  <pic:nvPicPr>
                    <pic:cNvPr descr="_extensions/wjschne/apaquarto/ORCID-iD_icon-vector.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400" cy="152400"/>
                    </a:xfrm>
                    <a:prstGeom prst="rect">
                      <a:avLst/>
                    </a:prstGeom>
                    <a:noFill/>
                    <a:ln w="9525">
                      <a:noFill/>
                      <a:headEnd/>
                      <a:tailEnd/>
                    </a:ln>
                  </pic:spPr>
                </pic:pic>
              </a:graphicData>
            </a:graphic>
          </wp:inline>
        </w:drawing>
      </w:r>
      <w:bookmarkEnd w:id="27"/>
      <w:r>
        <w:t xml:space="preserve"> </w:t>
      </w:r>
      <w:r>
        <w:t xml:space="preserve">http://orcid.org/0009-0006-0020-7599</w:t>
      </w:r>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 D.Makowski@sussex.ac.uk</w:t>
      </w:r>
    </w:p>
    <w:p>
      <w:r>
        <w:br w:type="page"/>
      </w:r>
    </w:p>
    <w:bookmarkEnd w:id="28"/>
    <w:bookmarkStart w:id="29" w:name="abstract"/>
    <w:p>
      <w:pPr>
        <w:pStyle w:val="Heading1"/>
      </w:pPr>
      <w:r>
        <w:t xml:space="preserve">Abstract</w:t>
      </w:r>
    </w:p>
    <w:p>
      <w:pPr>
        <w:pStyle w:val="Abstract"/>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w:t>
      </w:r>
      <w:r>
        <w:t xml:space="preserve"> </w:t>
      </w:r>
      <w:r>
        <w:rPr>
          <w:i/>
          <w:iCs/>
        </w:rPr>
        <w:t xml:space="preserve">[N participants were recruited in an online study. Results will be added in the final version of the manuscript]</w:t>
      </w:r>
      <w:r>
        <w:t xml:space="preserve">.</w:t>
      </w:r>
    </w:p>
    <w:p>
      <w:pPr>
        <w:pStyle w:val="BodyText"/>
      </w:pPr>
      <w:r>
        <w:rPr>
          <w:i/>
          <w:iCs/>
        </w:rPr>
        <w:t xml:space="preserve">Keywords</w:t>
      </w:r>
      <w:r>
        <w:t xml:space="preserve">: illusion sensitivity, visual illusions, phenomenological control, suggestibility, hypnotizability</w:t>
      </w:r>
    </w:p>
    <w:p>
      <w:r>
        <w:br w:type="page"/>
      </w:r>
    </w:p>
    <w:bookmarkEnd w:id="29"/>
    <w:bookmarkStart w:id="31"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 Notredame et al., 2014; Nour &amp; Nour, 2015)</w:t>
      </w:r>
      <w:r>
        <w:t xml:space="preserve"> </w:t>
      </w:r>
      <w:r>
        <w:t xml:space="preserve">in which the brain optimally combines, using some flavour of Bayesian inference, perceptual inputs with prior knowledge to make sense of ambiguous environments</w:t>
      </w:r>
      <w:r>
        <w:t xml:space="preserve"> </w:t>
      </w:r>
      <w:r>
        <w:t xml:space="preserve">(Friston, 2010)</w:t>
      </w:r>
      <w:r>
        <w:t xml:space="preserve">.</w:t>
      </w:r>
    </w:p>
    <w:p>
      <w:pPr>
        <w:pStyle w:val="BodyText"/>
      </w:pPr>
      <w:r>
        <w:t xml:space="preserve">Such computational model(s) propose to conceptualize illusions as stimuli providing weak or conflicting sensory evidence</w:t>
      </w:r>
      <w:r>
        <w:t xml:space="preserve"> </w:t>
      </w:r>
      <w:r>
        <w:t xml:space="preserve">(Gershman et al., 2012; Sundareswara &amp; Schrater, 2008)</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(Notredame et al., 2014)</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(Costa et al., 2023)</w:t>
      </w:r>
      <w:r>
        <w:t xml:space="preserve"> </w:t>
      </w:r>
      <w:r>
        <w:t xml:space="preserve">and autism</w:t>
      </w:r>
      <w:r>
        <w:t xml:space="preserve"> </w:t>
      </w:r>
      <w:r>
        <w:t xml:space="preserve">(Gori et al., 2016)</w:t>
      </w:r>
      <w:r>
        <w:t xml:space="preserve">, in which the reported lower sensitivity to illusions has been attributed to a diminished influence of top-down processes such as prior knowledge</w:t>
      </w:r>
      <w:r>
        <w:t xml:space="preserve"> </w:t>
      </w:r>
      <w:r>
        <w:t xml:space="preserve">(Mitchell et al., 2010)</w:t>
      </w:r>
      <w:r>
        <w:t xml:space="preserve"> </w:t>
      </w:r>
      <w:r>
        <w:t xml:space="preserve">and a greater emphasis on (i.e., precision of) sensory information</w:t>
      </w:r>
      <w:r>
        <w:t xml:space="preserve"> </w:t>
      </w:r>
      <w:r>
        <w:t xml:space="preserve">(Palmer et al., 2017)</w:t>
      </w:r>
      <w:r>
        <w:t xml:space="preserve">.</w:t>
      </w:r>
      <w:r>
        <w:t xml:space="preserve"> </w:t>
      </w:r>
      <w:r>
        <w:t xml:space="preserve">Evidence beyond psychopathology also suggests variability in the general population, potentially correlated with personality traits such as agreeableness and honest-humility</w:t>
      </w:r>
      <w:r>
        <w:t xml:space="preserve"> </w:t>
      </w:r>
      <w:r>
        <w:t xml:space="preserve">(Makowski et al., 2023)</w:t>
      </w:r>
      <w:r>
        <w:t xml:space="preserve">, as well as cognitive abilities</w:t>
      </w:r>
      <w:r>
        <w:t xml:space="preserve"> </w:t>
      </w:r>
      <w:r>
        <w:t xml:space="preserve">(Shoshina &amp; Shelepin, 2014)</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(Makowski et al., 2021)</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(Todorović, 2020)</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(Makowski et al., 2023)</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(Makowski et al., 2021)</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(Lush et al., 2021)</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(Dienes et al., 2022)</w:t>
      </w:r>
      <w:r>
        <w:t xml:space="preserve">.</w:t>
      </w:r>
    </w:p>
    <w:p>
      <w:pPr>
        <w:pStyle w:val="BodyText"/>
      </w:pPr>
      <w:r>
        <w:t xml:space="preserve">To encourage the empirical exploration of our ability and tendency to alter our phenomenological experience and further accelerate investigations away from the hypnotic context, Lush et al. (2021) adapted the Sussex-Waterloo Scale of Hypnotisability</w:t>
      </w:r>
      <w:r>
        <w:t xml:space="preserve"> </w:t>
      </w:r>
      <w:r>
        <w:t xml:space="preserve">(SWASH, Lush et al., 2018)</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(Lush et al., 2022)</w:t>
      </w:r>
      <w:r>
        <w:t xml:space="preserve">.</w:t>
      </w:r>
    </w:p>
    <w:p>
      <w:pPr>
        <w:pStyle w:val="BodyText"/>
      </w:pPr>
      <w:r>
        <w:t xml:space="preserve">Interestingly, Lush et al. (2022) 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 Lush et al. (2022) 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(Costa et al., 2023)</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0"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0"/>
    <w:bookmarkEnd w:id="31"/>
    <w:bookmarkStart w:id="41" w:name="methods"/>
    <w:p>
      <w:pPr>
        <w:pStyle w:val="Heading1"/>
      </w:pPr>
      <w:r>
        <w:t xml:space="preserve">Methods</w:t>
      </w:r>
    </w:p>
    <w:bookmarkStart w:id="32" w:name="participants"/>
    <w:p>
      <w:pPr>
        <w:pStyle w:val="Heading2"/>
      </w:pPr>
      <w:r>
        <w:t xml:space="preserve">Participants</w:t>
      </w:r>
    </w:p>
    <w:p>
      <w:pPr>
        <w:pStyle w:val="FirstParagraph"/>
      </w:pPr>
      <w:r>
        <w:t xml:space="preserve">This study recruited 500 adult native English speakers via Prolific (www.prolific.com</w:t>
      </w:r>
      <w:r>
        <w:t xml:space="preserve"> </w:t>
      </w:r>
      <w:r>
        <w:t xml:space="preserve">), all of whom completed the study on a desktop device. Participants were be first presented with an explanatory statement and the consent form, and could proceed by pressing a button to confirm they have read and understood the information. This study has been approved by the ethics board of the School of Psychology of the University of Sussex (ER/ASF25/5).</w:t>
      </w:r>
    </w:p>
    <w:bookmarkEnd w:id="32"/>
    <w:bookmarkStart w:id="39" w:name="procedure"/>
    <w:p>
      <w:pPr>
        <w:pStyle w:val="Heading2"/>
      </w:pPr>
      <w:r>
        <w:t xml:space="preserve">Procedure</w:t>
      </w:r>
    </w:p>
    <w:p>
      <w:pPr>
        <w:pStyle w:val="FirstParagraph"/>
      </w:pPr>
      <w:r>
        <w:t xml:space="preserve">The experiment’s setup follows of the born-open principle</w:t>
      </w:r>
      <w:r>
        <w:t xml:space="preserve"> </w:t>
      </w:r>
      <w:r>
        <w:t xml:space="preserve">(De Leeuw, 2023)</w:t>
      </w:r>
      <w:r>
        <w:t xml:space="preserve">.</w:t>
      </w:r>
      <w:r>
        <w:t xml:space="preserve"> </w:t>
      </w:r>
      <w:r>
        <w:t xml:space="preserve">The online experiment, implemented entirely using JsPsych</w:t>
      </w:r>
      <w:r>
        <w:t xml:space="preserve"> </w:t>
      </w:r>
      <w:r>
        <w:t xml:space="preserve">(De Leeuw, 2015)</w:t>
      </w:r>
      <w:r>
        <w:t xml:space="preserve">, has its code stored on GitHub and will leverage the power of the platform to host the experiment for free.</w:t>
      </w:r>
      <w:r>
        <w:t xml:space="preserve"> </w:t>
      </w:r>
      <w:r>
        <w:t xml:space="preserve">Participant’s raw data files (containing identifiers) are automatically stored in a private OSF repository.</w:t>
      </w:r>
      <w:r>
        <w:t xml:space="preserve"> </w:t>
      </w:r>
      <w:r>
        <w:t xml:space="preserve">The preprocessing and analysis scripts, as well as the anonymized data, will be available directly on GitHub, ensuring the transparency and reproducibility of all the analysis steps.</w:t>
      </w:r>
    </w:p>
    <w:p>
      <w:pPr>
        <w:pStyle w:val="BodyText"/>
      </w:pPr>
      <w:r>
        <w:t xml:space="preserve">Participants will be presented with a consent form followed by demographic questions (gender, education level, age, and ethnicity).</w:t>
      </w:r>
      <w:r>
        <w:t xml:space="preserve"> </w:t>
      </w:r>
      <w:r>
        <w:t xml:space="preserve">Although these variables are not directly analyzed in the current study, they will be used to provide a detailed and thorough description of the sample and maximizing data reusability.**</w:t>
      </w:r>
      <w:r>
        <w:t xml:space="preserve"> </w:t>
      </w:r>
      <w:r>
        <w:t xml:space="preserve">**Participants will then be administered the PCS and the Illusion Game task (IG) in a counterbalanced order.</w:t>
      </w:r>
    </w:p>
    <w:bookmarkStart w:id="33" w:name="phenomenological-control-scale-pcs"/>
    <w:p>
      <w:pPr>
        <w:pStyle w:val="Heading3"/>
      </w:pPr>
      <w:r>
        <w:t xml:space="preserve">Phenomenological Control Scale (PCS)</w:t>
      </w:r>
    </w:p>
    <w:p>
      <w:pPr>
        <w:pStyle w:val="FirstParagraph"/>
      </w:pPr>
      <w:r>
        <w:t xml:space="preserve">Participants will be asked to put on their headphones and await further auditory instructions.</w:t>
      </w:r>
      <w:r>
        <w:t xml:space="preserve"> </w:t>
      </w:r>
      <w:r>
        <w:t xml:space="preserve">The PCS procedure starts with a recorded introduction explaining that a series of tests will be applied to evaluate how experiences can be created through imagination.</w:t>
      </w:r>
      <w:r>
        <w:t xml:space="preserve"> </w:t>
      </w:r>
      <w:r>
        <w:t xml:space="preserve">This will be followed by 10 suggestions in a fixed order</w:t>
      </w:r>
      <w:r>
        <w:t xml:space="preserve"> </w:t>
      </w:r>
      <w:r>
        <w:t xml:space="preserve">(see Lush et al., 2021)</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are completed, participants will be asked to rate their subjective experiences and response to each suggestion on a 6-points Likert scale (from 0-5).</w:t>
      </w:r>
      <w:r>
        <w:t xml:space="preserve"> </w:t>
      </w:r>
      <w:r>
        <w:t xml:space="preserve">Phenomenological control will be indexed by averaging the scores from the 10 scales.</w:t>
      </w:r>
    </w:p>
    <w:bookmarkEnd w:id="33"/>
    <w:bookmarkStart w:id="38" w:name="illusion-game"/>
    <w:p>
      <w:pPr>
        <w:pStyle w:val="Heading3"/>
      </w:pPr>
      <w:r>
        <w:t xml:space="preserve">Illusion Game</w:t>
      </w:r>
    </w:p>
    <w:p>
      <w:pPr>
        <w:pStyle w:val="FirstParagraph"/>
      </w:pPr>
      <w:r>
        <w:t xml:space="preserve">The task is an adaptation of the one used in Makowski et al. (2023) to make it shorter, in which participants must make perceptual judgments (e.g.,</w:t>
      </w:r>
      <w:r>
        <w:t xml:space="preserve"> </w:t>
      </w:r>
      <w:r>
        <w:t xml:space="preserve">“which red line is the longer”</w:t>
      </w:r>
      <w:r>
        <w:t xml:space="preserve">) as quickly and accurately as possible. It includes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55 minutes.</w:t>
      </w:r>
      <w:r>
        <w:t xml:space="preserve"> </w:t>
      </w:r>
      <w:r>
        <w:t xml:space="preserve">In the current procedure, only three illusions are used, selected based on the original study’s findings that these illusions most strongly contribute to illusion sensitivity.</w:t>
      </w:r>
    </w:p>
    <w:bookmarkStart w:id="37"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5" name="Picture"/>
            <a:graphic>
              <a:graphicData uri="http://schemas.openxmlformats.org/drawingml/2006/picture">
                <pic:pic>
                  <pic:nvPicPr>
                    <pic:cNvPr descr="img/IllusionTable.jpg" id="36" name="Picture"/>
                    <pic:cNvPicPr>
                      <a:picLocks noChangeArrowheads="1" noChangeAspect="1"/>
                    </pic:cNvPicPr>
                  </pic:nvPicPr>
                  <pic:blipFill>
                    <a:blip r:embed="rId34"/>
                    <a:stretch>
                      <a:fillRect/>
                    </a:stretch>
                  </pic:blipFill>
                  <pic:spPr bwMode="auto">
                    <a:xfrm>
                      <a:off x="0" y="0"/>
                      <a:ext cx="5943600" cy="2715011"/>
                    </a:xfrm>
                    <a:prstGeom prst="rect">
                      <a:avLst/>
                    </a:prstGeom>
                    <a:noFill/>
                    <a:ln w="9525">
                      <a:noFill/>
                      <a:headEnd/>
                      <a:tailEnd/>
                    </a:ln>
                  </pic:spPr>
                </pic:pic>
              </a:graphicData>
            </a:graphic>
          </wp:inline>
        </w:drawing>
      </w:r>
    </w:p>
    <w:bookmarkEnd w:id="37"/>
    <w:p>
      <w:pPr>
        <w:pStyle w:val="AfterWithoutNote"/>
      </w:pPr>
      <w:r>
        <w:t xml:space="preserve">The procedure encompasses 2 sets of 80 trials for each illusion type, preceded by a practice trial for each illusion.</w:t>
      </w:r>
      <w:r>
        <w:t xml:space="preserve"> </w:t>
      </w:r>
      <w:r>
        <w:t xml:space="preserve">Each set will include, in a random order, the 3 blocks of illusion types, in which trials are separated by a fixation cross, temporally (uniformly sampled duration of 500 - 1000s) and spatially jittered (around the centre of the screen in a radius of a 1 cm) to attenuate its potential usefulness as a reference point.</w:t>
      </w:r>
      <w:r>
        <w:t xml:space="preserve"> </w:t>
      </w:r>
      <w:r>
        <w:t xml:space="preserve">After each illusion type block, an arbitrary score is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 with equal weight to be fast and to avoid errors.</w:t>
      </w:r>
    </w:p>
    <w:p>
      <w:pPr>
        <w:pStyle w:val="BodyText"/>
      </w:pPr>
      <w:r>
        <w:t xml:space="preserve">For each illusion type, two continuous dimensions are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 Makowski et al., 2021)</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 with a key arrow (left vs. right; or up vs. down), and their reaction time (RT) and accuracy are recorded.</w:t>
      </w:r>
    </w:p>
    <w:p>
      <w:pPr>
        <w:pStyle w:val="BodyText"/>
      </w:pPr>
      <w:r>
        <w:t xml:space="preserve">Visual illusion sensitivity will be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w:t>
      </w:r>
      <w:r>
        <w:t xml:space="preserve"> </w:t>
      </w:r>
      <w:r>
        <w:t xml:space="preserve">(IES, Townsend &amp; Ashby, 2014)</w:t>
      </w:r>
      <w:r>
        <w:t xml:space="preserve"> </w:t>
      </w:r>
      <w:r>
        <w:t xml:space="preserve">will also be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will be separated by 2 short questionnaires acting as a break, namely the IPIP-6</w:t>
      </w:r>
      <w:r>
        <w:t xml:space="preserve"> </w:t>
      </w:r>
      <w:r>
        <w:t xml:space="preserve">(Sibley et al., 2011)</w:t>
      </w:r>
      <w:r>
        <w:t xml:space="preserve">, measuring 6 personality traits with 24 analogue scales items, and the PID-5</w:t>
      </w:r>
      <w:r>
        <w:t xml:space="preserve"> </w:t>
      </w:r>
      <w:r>
        <w:t xml:space="preserve">(Krueger et al., 2011)</w:t>
      </w:r>
      <w:r>
        <w:t xml:space="preserve">, measuring 5 maladaptive personality traits with 25 Likert scales items.</w:t>
      </w:r>
      <w:r>
        <w:t xml:space="preserve"> </w:t>
      </w:r>
      <w:r>
        <w:t xml:space="preserve">These questionnaires are included as a way of providing a break between the two cognitively taxing blocks and maintain paradigmatic consistency with previous studies</w:t>
      </w:r>
      <w:r>
        <w:t xml:space="preserve"> </w:t>
      </w:r>
      <w:r>
        <w:t xml:space="preserve">(Makowski et al., 2023)</w:t>
      </w:r>
      <w:r>
        <w:t xml:space="preserve">.</w:t>
      </w:r>
      <w:r>
        <w:t xml:space="preserve"> </w:t>
      </w:r>
      <w:r>
        <w:t xml:space="preserve">Additionally, the psychoticism subscale of the PID-5 will be used to examine the correlation between maladaptive traits and illusion sensitivity, evaluating the existence of the link proposed in previous studies</w:t>
      </w:r>
      <w:r>
        <w:t xml:space="preserve"> </w:t>
      </w:r>
      <w:r>
        <w:t xml:space="preserve">(Costa et al., 2023)</w:t>
      </w:r>
      <w:r>
        <w:t xml:space="preserve">.</w:t>
      </w:r>
    </w:p>
    <w:bookmarkEnd w:id="38"/>
    <w:bookmarkEnd w:id="39"/>
    <w:bookmarkStart w:id="40"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(e.g.,</w:t>
      </w:r>
      <w:r>
        <w:t xml:space="preserve"> </w:t>
      </w:r>
      <w:r>
        <w:t xml:space="preserve">“Hello,”</w:t>
      </w:r>
      <w:r>
        <w:t xml:space="preserve"> </w:t>
      </w:r>
      <w:r>
        <w:t xml:space="preserve">“Goodbye,”</w:t>
      </w:r>
      <w:r>
        <w:t xml:space="preserve"> </w:t>
      </w:r>
      <w:r>
        <w:t xml:space="preserve">“How are you,”</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shown,”</w:t>
      </w:r>
      <w:r>
        <w:t xml:space="preserve"> </w:t>
      </w:r>
      <w:r>
        <w:t xml:space="preserve">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(Cronbach, 1951)</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 Makowski et al., 2023)</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 Cohen, 2013)</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(Makowski et al., 2023)</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 Lush et al. (2022), we expect to collect evidence against (BF10 &lt;= 1/3)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(Makowski et al., 2023)</w:t>
      </w:r>
      <w:r>
        <w:t xml:space="preserve">, we expect to find evidence (BF10 ≥ 3) supporting a relationship between the psychoticism facet of the PID-5 and illusion sensitivity.</w:t>
      </w:r>
    </w:p>
    <w:p>
      <w:pPr>
        <w:pStyle w:val="BodyText"/>
      </w:pPr>
      <w:r>
        <w:t xml:space="preserve">All Bayesian analyses will be conducted using the BayesFactor package</w:t>
      </w:r>
      <w:r>
        <w:t xml:space="preserve"> </w:t>
      </w:r>
      <w:r>
        <w:t xml:space="preserve">(Morey &amp; Rouder, 2024)</w:t>
      </w:r>
      <w:r>
        <w:t xml:space="preserve">.</w:t>
      </w:r>
      <w:r>
        <w:t xml:space="preserve"> </w:t>
      </w:r>
      <w:r>
        <w:t xml:space="preserve">For correlations, a medium shifted beta prior will be applied (r-scale parameter set to 1/3), as recommended by Morey and Rouder (2018), providing a balanced approach to estimating effect sizes, without placing undue weight on larger effect sizes or artificially inflating evidence for the null hypothesis.</w:t>
      </w:r>
      <w:r>
        <w:t xml:space="preserve"> </w:t>
      </w:r>
      <w:r>
        <w:t xml:space="preserve">For t-tests, the ttestBF 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(Wickham et al., 2019)</w:t>
      </w:r>
      <w:r>
        <w:t xml:space="preserve"> </w:t>
      </w:r>
      <w:r>
        <w:t xml:space="preserve">and</w:t>
      </w:r>
      <w:r>
        <w:t xml:space="preserve"> </w:t>
      </w:r>
      <w:r>
        <w:rPr>
          <w:i/>
          <w:iCs/>
        </w:rPr>
        <w:t xml:space="preserve">easystats</w:t>
      </w:r>
      <w:r>
        <w:t xml:space="preserve"> </w:t>
      </w:r>
      <w:r>
        <w:t xml:space="preserve">(Lüdecke et al., 2020, 2022; Makowski et al., 2019, 2022; Patil et al., 2022)</w:t>
      </w:r>
      <w:r>
        <w:t xml:space="preserve">.</w:t>
      </w:r>
      <w:r>
        <w:t xml:space="preserve"> </w:t>
      </w:r>
      <w:r>
        <w:t xml:space="preserve">The analysis script and additional information are available at</w:t>
      </w:r>
      <w:r>
        <w:t xml:space="preserve"> </w:t>
      </w:r>
      <w:r>
        <w:rPr>
          <w:b/>
          <w:bCs/>
        </w:rPr>
        <w:t xml:space="preserve">https://osf.io/da3u6/?view_only=247d4efa1afe456aa07662732946d4e6</w:t>
      </w:r>
      <w:r>
        <w:t xml:space="preserve"> </w:t>
      </w:r>
      <w:r>
        <w:t xml:space="preserve">[Note this link will be replaced with the GitHub page of the current project upon completion of the review process to ensure continued anonymisation].</w:t>
      </w:r>
    </w:p>
    <w:bookmarkEnd w:id="40"/>
    <w:bookmarkEnd w:id="41"/>
    <w:bookmarkStart w:id="57" w:name="results"/>
    <w:p>
      <w:pPr>
        <w:pStyle w:val="Heading1"/>
      </w:pPr>
      <w:r>
        <w:t xml:space="preserve">Results</w:t>
      </w:r>
    </w:p>
    <w:bookmarkStart w:id="44" w:name="data-exclusion"/>
    <w:p>
      <w:pPr>
        <w:pStyle w:val="Heading2"/>
      </w:pPr>
      <w:r>
        <w:t xml:space="preserve">1. Data Exclusion</w:t>
      </w:r>
    </w:p>
    <w:p>
      <w:pPr>
        <w:pStyle w:val="FirstParagraph"/>
      </w:pPr>
      <w:r>
        <w:t xml:space="preserve">The initial sample consisted of 500 participants (Mean age = 38.6, SD = 13.1, range: [18, 75]). 49.4% identified as women, 49.8% as males and 0.80% as non-binary.</w:t>
      </w:r>
    </w:p>
    <w:bookmarkStart w:id="42"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bookmarkEnd w:id="42"/>
    <w:bookmarkStart w:id="43" w:name="deviations-from-registration"/>
    <w:p>
      <w:pPr>
        <w:pStyle w:val="Heading3"/>
      </w:pPr>
      <w:r>
        <w:t xml:space="preserve">Deviations from registration</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six times) resulted in the exclusion of 189 participants (37.80%), which was disproportionately high compared to the other two checks combined (n = 19; 3.8%).</w:t>
      </w:r>
      <w:r>
        <w:t xml:space="preserve"> </w:t>
      </w:r>
      <w:r>
        <w:t xml:space="preserve">To evaluate whether this exclusion improved data quality, the internal consistency of the PCS was assessed with and without these participants.</w:t>
      </w:r>
      <w:r>
        <w:t xml:space="preserve"> </w:t>
      </w:r>
      <w:r>
        <w:t xml:space="preserve">Reliability was identical in both cases (Cronbach’s α = 0.78), indicating that their exclusion did not enhance scale reliability.</w:t>
      </w:r>
      <w:r>
        <w:t xml:space="preserve"> </w:t>
      </w:r>
      <w:r>
        <w:t xml:space="preserve">Accordingly, this attention check was excluded from the final exclusion criteria, and only the remaining two checks were used to identify inattentive participants.</w:t>
      </w:r>
    </w:p>
    <w:p>
      <w:pPr>
        <w:pStyle w:val="BodyText"/>
      </w:pPr>
      <w:r>
        <w:t xml:space="preserve">In addition, trial-level reaction time exclusions were introduced to remove implausible responses and reduce the influence of extreme values.</w:t>
      </w:r>
      <w:r>
        <w:t xml:space="preserve"> </w:t>
      </w:r>
      <w:r>
        <w:t xml:space="preserve">Following Thériault et al. (2024), trials with response times below 0.2 seconds or above 5 seconds were excluded, resulting in the removal of 687 trials (0.31% of the data).</w:t>
      </w:r>
    </w:p>
    <w:p>
      <w:pPr>
        <w:pStyle w:val="BodyText"/>
      </w:pPr>
      <w:r>
        <w:t xml:space="preserve">Notably, during data inspection, some participants exhibited systematic response patterns inconsistent with task instructions, reflected in error rates falling outside the 95% highest density interval (HDI) for a given illusion for the Congruent, Mild and Strong Conditions.</w:t>
      </w:r>
      <w:r>
        <w:t xml:space="preserve"> </w:t>
      </w:r>
      <w:r>
        <w:t xml:space="preserve">These cases likely reflect misunderstanding of task demands (e.g., consistently selecting the incorrect perceptual option).</w:t>
      </w:r>
      <w:r>
        <w:t xml:space="preserve"> </w:t>
      </w:r>
      <w:r>
        <w:t xml:space="preserve">As such, these participants were excluded at the illusion level (i.e., their data were set to missing for the relevant illusion only), affecting 20 participants (4.31%) for the Müller–Lyer illusion, 19 (4.09%) for the Ebbinghaus illusion, and 18 (3.88%) for the Vertical–Horizontal illusion. This procedure was not registered.</w:t>
      </w:r>
    </w:p>
    <w:p>
      <w:pPr>
        <w:pStyle w:val="BodyText"/>
      </w:pPr>
      <w:r>
        <w:t xml:space="preserve">Due to illusion-specific exclusions (i.e., block-level removal and HDI-based exclusions), the effective sample size varied across illusion types.</w:t>
      </w:r>
      <w:r>
        <w:t xml:space="preserve"> </w:t>
      </w:r>
      <w:r>
        <w:t xml:space="preserve">The final sample used for correlations comprised 440 participants for the Müller–Lyer illusion, 441 for the Ebbinghaus illusion, and 442 for the Vertical–Horizontal illusion.</w:t>
      </w:r>
    </w:p>
    <w:p>
      <w:pPr>
        <w:pStyle w:val="BodyText"/>
      </w:pPr>
      <w:r>
        <w:t xml:space="preserve">The final sample includes 464 participants (Mean age = 38.7, SD = 13.2, range: [18, 75] ).</w:t>
      </w:r>
      <w:r>
        <w:t xml:space="preserve"> </w:t>
      </w:r>
      <w:r>
        <w:t xml:space="preserve">Out of these, 48.3% identified as female, 50.9% as male, and 0.86% as non-binary. Out of these participants, 2.59% reported having a doctoral degree, 18.32% masters degree, 48.49% a bachelors degree, 28.45 % a high school degree and 2.16% other qualifications.</w:t>
      </w:r>
    </w:p>
    <w:bookmarkEnd w:id="43"/>
    <w:bookmarkEnd w:id="44"/>
    <w:bookmarkStart w:id="45" w:name="score-consistency"/>
    <w:p>
      <w:pPr>
        <w:pStyle w:val="Heading2"/>
      </w:pPr>
      <w:r>
        <w:t xml:space="preserve">2. Score consistency</w:t>
      </w:r>
    </w:p>
    <w:p>
      <w:pPr>
        <w:pStyle w:val="FirstParagraph"/>
      </w:pPr>
      <w:r>
        <w:t xml:space="preserve">Consistency analyses between the 3 illusions were conducted as registered, using Cronbach’s alpha. Error rate reliability was low (Mild: α = 0.32; Strong: α = 0.14), whereas IES reliability was mixed (Mild: α = 0.87; Strong: α = 0.33), overall providing no evidence for combining the scores of the 3 illusions.</w:t>
      </w:r>
    </w:p>
    <w:p>
      <w:pPr>
        <w:pStyle w:val="BodyText"/>
      </w:pPr>
      <w:r>
        <w:t xml:space="preserve">PCS consistency was good (α = 0.78), and remained stable even when excluding the participants according to the registered plan (i.e., based on the removed attention check), suggesting that participants flagged by this item were not detrimental to the consistency of the measure.</w:t>
      </w:r>
    </w:p>
    <w:bookmarkEnd w:id="45"/>
    <w:bookmarkStart w:id="49" w:name="manipulation-checks"/>
    <w:p>
      <w:pPr>
        <w:pStyle w:val="Heading2"/>
      </w:pPr>
      <w:r>
        <w:t xml:space="preserve">3. Manipulation Checks</w:t>
      </w:r>
    </w:p>
    <w:bookmarkStart w:id="47" w:name="condition-differences"/>
    <w:p>
      <w:pPr>
        <w:pStyle w:val="Heading3"/>
      </w:pPr>
      <w:r>
        <w:t xml:space="preserve">Condition Differences</w:t>
      </w:r>
    </w:p>
    <w:p>
      <w:pPr>
        <w:pStyle w:val="FirstParagraph"/>
      </w:pPr>
      <w:r>
        <w:t xml:space="preserve">Bayesian paired-samples t-tests revealed extreme evidence for differences between conditions, with performance decreasing as illusion strength increased across all illusion types and outcome measures. For all three illusions (Ebbinghaus, Müller–Lyer, Vertical–Horizontal), error rates and IES were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Start w:id="46" w:name="tbl-tablemeans"/>
    <w:p>
      <w:pPr>
        <w:pStyle w:val="FigureWithoutNote"/>
      </w:pPr>
      <w:r>
        <w:t xml:space="preserve">Table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BLACK"/>
              <w:start w:val="single" w:space="0" w:color="D3D3D3"/>
            </w:tcBorders>
            <w:gridSpan w:val="3"/>
          </w:tcPr>
          <w:p>
            <w:pPr>
              <w:spacing w:before="0" w:after="60"/>
              <w:keepNext/>
              <w:jc w:val="center"/>
            </w:pPr>
            <w:r>
              <w:rPr>
                <w:rFonts w:ascii="Calibri" w:hAnsi="Calibri"/>
                <w:sz w:val="20"/>
              </w:rPr>
              <w:t xml:space="default">Error Rate</w:t>
            </w:r>
          </w:p>
        </w:tc>
        <w:tc>
          <w:tcPr>
            <w:tcBorders>
              <w:top w:val="single" w:sz="16" w:space="0" w:color="D3D3D3"/>
              <w:bottom w:val="single" w:sz="16" w:space="0" w:color="BLACK"/>
              <w:end w:val="single" w:space="0" w:color="D3D3D3"/>
            </w:tcBorders>
            <w:gridSpan w:val="3"/>
          </w:tcPr>
          <w:p>
            <w:pPr>
              <w:spacing w:before="0" w:after="60"/>
              <w:keepNext/>
              <w:jc w:val="center"/>
            </w:pPr>
            <w:r>
              <w:rPr>
                <w:rFonts w:ascii="Calibri" w:hAnsi="Calibri"/>
                <w:sz w:val="20"/>
              </w:rPr>
              <w:t xml:space="default">IES</w:t>
            </w:r>
          </w:p>
        </w:tc>
      </w:tr>
      <w:tr>
        <w:trPr>
          <w:cantSplit/>
          <w:tblHeader/>
        </w:trPr>
        <w:tc>
          <w:tcPr>
            <w:tcBorders>
              <w:bottom w:val="single" w:sz="16" w:space="0" w:color="BLACK"/>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BLACK"/>
              <w:start w:val="single" w:space="0" w:color="D3D3D3"/>
            </w:tcBorders>
          </w:tcPr>
          <w:p>
            <w:pPr>
              <w:spacing w:before="0" w:after="60"/>
              <w:keepNext/>
              <w:jc w:val="start"/>
            </w:pPr>
            <w:r>
              <w:rPr>
                <w:rFonts w:ascii="Calibri" w:hAnsi="Calibri"/>
                <w:sz w:val="20"/>
              </w:rPr>
              <w:t xml:space="default">Congruent</w:t>
            </w:r>
          </w:p>
        </w:tc>
        <w:tc>
          <w:tcPr>
            <w:tcBorders>
              <w:bottom w:val="single" w:sz="16" w:space="0" w:color="BLACK"/>
            </w:tcBorders>
          </w:tcPr>
          <w:p>
            <w:pPr>
              <w:spacing w:before="0" w:after="60"/>
              <w:keepNext/>
              <w:jc w:val="start"/>
            </w:pPr>
            <w:r>
              <w:rPr>
                <w:rFonts w:ascii="Calibri" w:hAnsi="Calibri"/>
                <w:sz w:val="20"/>
              </w:rPr>
              <w:t xml:space="default">Mild</w:t>
            </w:r>
          </w:p>
        </w:tc>
        <w:tc>
          <w:tcPr>
            <w:tcBorders>
              <w:bottom w:val="single" w:sz="16" w:space="0" w:color="BLACK"/>
            </w:tcBorders>
          </w:tcPr>
          <w:p>
            <w:pPr>
              <w:spacing w:before="0" w:after="60"/>
              <w:keepNext/>
              <w:jc w:val="start"/>
            </w:pPr>
            <w:r>
              <w:rPr>
                <w:rFonts w:ascii="Calibri" w:hAnsi="Calibri"/>
                <w:sz w:val="20"/>
              </w:rPr>
              <w:t xml:space="default">Strong</w:t>
            </w:r>
          </w:p>
        </w:tc>
        <w:tc>
          <w:tcPr>
            <w:tcBorders>
              <w:bottom w:val="single" w:sz="16" w:space="0" w:color="BLACK"/>
            </w:tcBorders>
          </w:tcPr>
          <w:p>
            <w:pPr>
              <w:spacing w:before="0" w:after="60"/>
              <w:keepNext/>
              <w:jc w:val="start"/>
            </w:pPr>
            <w:r>
              <w:rPr>
                <w:rFonts w:ascii="Calibri" w:hAnsi="Calibri"/>
                <w:sz w:val="20"/>
              </w:rPr>
              <w:t xml:space="default">Congruent</w:t>
            </w:r>
          </w:p>
        </w:tc>
        <w:tc>
          <w:tcPr>
            <w:tcBorders>
              <w:bottom w:val="single" w:sz="16" w:space="0" w:color="BLACK"/>
            </w:tcBorders>
          </w:tcPr>
          <w:p>
            <w:pPr>
              <w:spacing w:before="0" w:after="60"/>
              <w:keepNext/>
              <w:jc w:val="start"/>
            </w:pPr>
            <w:r>
              <w:rPr>
                <w:rFonts w:ascii="Calibri" w:hAnsi="Calibri"/>
                <w:sz w:val="20"/>
              </w:rPr>
              <w:t xml:space="default">Mild</w:t>
            </w:r>
          </w:p>
        </w:tc>
        <w:tc>
          <w:tcPr>
            <w:tcBorders>
              <w:bottom w:val="single" w:sz="16" w:space="0" w:color="BLACK"/>
              <w:end w:val="single" w:space="0" w:color="D3D3D3"/>
            </w:tcBorders>
          </w:tcPr>
          <w:p>
            <w:pPr>
              <w:spacing w:before="0" w:after="60"/>
              <w:keepNext/>
              <w:jc w:val="start"/>
            </w:pPr>
            <w:r>
              <w:rPr>
                <w:rFonts w:ascii="Calibri" w:hAnsi="Calibri"/>
                <w:sz w:val="20"/>
              </w:rPr>
              <w:t xml:space="default">Strong</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Ebbinghaus</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3.40% ± 4%</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15.09% ± 8%</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40.20% ± 15%</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0.78 ± 0.20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1.01 ± 0.32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1.70 ± 0.99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Müller-Lyer</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0.94% ± 1%</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25.22% ± 7%</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62.53% ± 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0.65 ± 0.14</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1.11 ± 0.29</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2.82 ± 1.08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Vertical–Horizontal</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2.85% ± 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19.92% ± 10%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52.99% ± 17%</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0.69 ± 0.19</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1.04 ± 0.30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2.45 ± 1.70</w:t>
            </w:r>
          </w:p>
        </w:tc>
      </w:tr>
      <w:tr>
        <w:trPr>
          <w:cantSplit/>
        </w:trPr>
        <w:tc>
          <w:tcPr>
            <w:gridSpan w:val="7"/>
          </w:tcPr>
          <w:p>
            <w:pPr>
              <w:spacing w:before="0" w:after="60"/>
              <w:keepNext/>
            </w:pPr>
            <w:r>
              <w:rPr>
                <w:rFonts w:ascii="Calibri" w:hAnsi="Calibri"/>
                <w:sz w:val="20"/>
              </w:rPr>
              <w:t xml:space="default">Note. Values represent means and standard deviations. All Bayes factors (BFs) for the group differences exceeded 1000, indicating extreme evidence in favour of a difference between groups.</w:t>
            </w:r>
          </w:p>
        </w:tc>
      </w:tr>
    </w:tbl>
    <w:bookmarkEnd w:id="46"/>
    <w:bookmarkEnd w:id="47"/>
    <w:bookmarkStart w:id="48" w:name="collapsing-mild-and-strong-conditions"/>
    <w:p>
      <w:pPr>
        <w:pStyle w:val="Heading3"/>
      </w:pPr>
      <w:r>
        <w:t xml:space="preserve">Collapsing Mild and Strong conditions</w:t>
      </w:r>
    </w:p>
    <w:p>
      <w:pPr>
        <w:pStyle w:val="FirstParagraph"/>
      </w:pPr>
      <w:r>
        <w:t xml:space="preserve">Registered Bayesian correlations were conducted to assess whether Mild and Strong conditions could be collapsed (criterion: r &gt; .50).</w:t>
      </w:r>
      <w:r>
        <w:t xml:space="preserve"> </w:t>
      </w:r>
      <w:r>
        <w:t xml:space="preserve">Although all correlations were positive, the threshold was not consistently met across illusion types and outcome measures, with about 33.3% of the indices yielding a correlation between .40 and .50 and the rest between .50 and .72.</w:t>
      </w:r>
    </w:p>
    <w:p>
      <w:pPr>
        <w:pStyle w:val="BodyText"/>
      </w:pPr>
      <w:r>
        <w:t xml:space="preserve">For Error Rate, all associations were strong and positive.</w:t>
      </w:r>
      <w:r>
        <w:t xml:space="preserve"> </w:t>
      </w:r>
      <w:r>
        <w:t xml:space="preserve">The Vertical–Horizontal illusion showed the strongest relationship between Mild and Strong conditions, r = .74, 95% CI [.70, .78], t(462) = 23.76, p &lt; .001. Similarly strong associations were observed for the Ebbinghaus illusion, r = .72, 95% CI [.67, .76], t(462) = 22.07, p &lt; .001, and the Müller–Lyer illusion, r = .66, 95% CI [.60, .71], t(462) = 18.81, p &lt; .001.</w:t>
      </w:r>
    </w:p>
    <w:p>
      <w:pPr>
        <w:pStyle w:val="BodyText"/>
      </w:pPr>
      <w:r>
        <w:t xml:space="preserve">For IES, moderate to strong positive correlations were observed. The Ebbinghaus illusion showed the strongest association between Mild and Strong conditions, r = .59, 95% CI [.53, .64], t(462) = 15.63, p &lt; .001. This was followed by the Müller–Lyer illusion, r = .42, 95% CI [.34, .49], t(462) = 9.87, p &lt; .001, and the Vertical–Horizontal illusion, r = .40, 95% CI [.32, .48], t(462) = 9.49, p &lt; .001.</w:t>
      </w:r>
    </w:p>
    <w:p>
      <w:pPr>
        <w:pStyle w:val="BodyText"/>
      </w:pPr>
      <w:r>
        <w:t xml:space="preserve">Given this inconsistent pattern, the decision was made to present Mild and Strong separately. For comprehensiveness, the combined score was additionally computed and tested for the analysis below, yielding identical results (see Supplementary Analysis).</w:t>
      </w:r>
    </w:p>
    <w:bookmarkEnd w:id="48"/>
    <w:bookmarkEnd w:id="49"/>
    <w:bookmarkStart w:id="56" w:name="X2f83660df9c36426592d7bab8c5711cdc8e7ea6"/>
    <w:p>
      <w:pPr>
        <w:pStyle w:val="Heading2"/>
      </w:pPr>
      <w:r>
        <w:t xml:space="preserve">4. Illusion Sensitivity, PCS, and Psychoticism</w:t>
      </w:r>
    </w:p>
    <w:bookmarkStart w:id="54"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 (see</w:t>
      </w:r>
      <w:r>
        <w:t xml:space="preserve"> </w:t>
      </w:r>
      <w:hyperlink w:anchor="fig-corr">
        <w:r>
          <w:rPr>
            <w:rStyle w:val="Hyperlink"/>
          </w:rPr>
          <w:t xml:space="preserve">Figure 2</w:t>
        </w:r>
      </w:hyperlink>
      <w:r>
        <w:t xml:space="preserve">).</w:t>
      </w:r>
    </w:p>
    <w:p>
      <w:pPr>
        <w:pStyle w:val="BodyText"/>
      </w:pPr>
      <w:r>
        <w:t xml:space="preserve">All correlations yielded Bayes factors below 3, providing no evidence for a relationship between PCS and illusion sensitivity.</w:t>
      </w:r>
      <w:r>
        <w:t xml:space="preserve"> </w:t>
      </w:r>
      <w:r>
        <w:rPr>
          <w:b/>
          <w:bCs/>
        </w:rPr>
        <w:t xml:space="preserve">X%</w:t>
      </w:r>
      <w:r>
        <w:t xml:space="preserve"> </w:t>
      </w:r>
      <w:r>
        <w:t xml:space="preserve">analyses yielded Bayes factors at or below the registered threshold for evidence in favour of the null hypothesis (BF₁₀ ≤ 1/3), whereas the rest fell within the inconclusive range (1/3 &lt; BF₁₀ &lt; 3), with no clear pattern pointing to specific illusions or scores. Taken together, these results suggest an absence of relationship between PCS and illusion sensitivity (see Figure 1).</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3"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3538441"/>
            <wp:effectExtent b="0" l="0" r="0" t="0"/>
            <wp:docPr descr="" title="" id="51" name="Picture"/>
            <a:graphic>
              <a:graphicData uri="http://schemas.openxmlformats.org/drawingml/2006/picture">
                <pic:pic>
                  <pic:nvPicPr>
                    <pic:cNvPr descr="../../analysis/figures/correlations.png" id="52" name="Picture"/>
                    <pic:cNvPicPr>
                      <a:picLocks noChangeArrowheads="1" noChangeAspect="1"/>
                    </pic:cNvPicPr>
                  </pic:nvPicPr>
                  <pic:blipFill>
                    <a:blip r:embed="rId50"/>
                    <a:stretch>
                      <a:fillRect/>
                    </a:stretch>
                  </pic:blipFill>
                  <pic:spPr bwMode="auto">
                    <a:xfrm>
                      <a:off x="0" y="0"/>
                      <a:ext cx="5943600" cy="3538441"/>
                    </a:xfrm>
                    <a:prstGeom prst="rect">
                      <a:avLst/>
                    </a:prstGeom>
                    <a:noFill/>
                    <a:ln w="9525">
                      <a:noFill/>
                      <a:headEnd/>
                      <a:tailEnd/>
                    </a:ln>
                  </pic:spPr>
                </pic:pic>
              </a:graphicData>
            </a:graphic>
          </wp:inline>
        </w:drawing>
      </w:r>
    </w:p>
    <w:bookmarkEnd w:id="53"/>
    <w:bookmarkEnd w:id="54"/>
    <w:bookmarkStart w:id="55" w:name="exploratory-analyses"/>
    <w:p>
      <w:pPr>
        <w:pStyle w:val="Heading3"/>
      </w:pPr>
      <w:r>
        <w:t xml:space="preserve">Exploratory analyses</w:t>
      </w:r>
    </w:p>
    <w:p>
      <w:pPr>
        <w:pStyle w:val="FirstParagraph"/>
      </w:pPr>
      <w:r>
        <w:t xml:space="preserve">To assess the robustness of these findings through a multiverse analysis approach, additional (non-registered) scores were constructed. These included error rates and IES computed from collapsed conditions (Mild and Strong Illusion Strength together), including collapsed condition scores (e.g., the error), collapsed difficulty levels, fully disaggregated condition × difficulty combinations, and global performance indices. Bayesian correlations with the PCS and the Psychoticism were recomputed across these alternative operationalisations; with no changes in the results (i.e., all BFs &lt; 3).</w:t>
      </w:r>
    </w:p>
    <w:bookmarkEnd w:id="55"/>
    <w:bookmarkEnd w:id="56"/>
    <w:bookmarkEnd w:id="57"/>
    <w:bookmarkStart w:id="58"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(Lush et al., 2022)</w:t>
      </w:r>
      <w:r>
        <w:t xml:space="preserve">, and (2) a positive relationship between illusion sensitivity and psychoticism</w:t>
      </w:r>
      <w:r>
        <w:t xml:space="preserve"> </w:t>
      </w:r>
      <w:r>
        <w:t xml:space="preserve">(Makowski et al., 2023)</w:t>
      </w:r>
      <w:r>
        <w:t xml:space="preserve">. However, pre-registered Bayesian correlation analyses suggested an absence of a relationship between illusion sensitivity and both phenomenological control and psychoticism, supporting only the first hypothesis.</w:t>
      </w:r>
      <w:r>
        <w:t xml:space="preserve"> </w:t>
      </w:r>
      <w:r>
        <w:t xml:space="preserve"> </w:t>
      </w:r>
      <w:r>
        <w:t xml:space="preserve">However, pre-registered Bayesian correlation analyses suggested an absence of a relationship between illusion sensitivity and both phenomenological control and psychoticism, supporting only the first hypothesis.</w:t>
      </w:r>
    </w:p>
    <w:p>
      <w:pPr>
        <w:pStyle w:val="BodyText"/>
      </w:pPr>
      <w:r>
        <w:t xml:space="preserve">One possible explanation for the lack of association between psychoticism and visual illusion sensitivity lies in how individual differences were operationalised.</w:t>
      </w:r>
      <w:r>
        <w:t xml:space="preserve"> </w:t>
      </w:r>
      <w:r>
        <w:t xml:space="preserve">In</w:t>
      </w:r>
      <w:r>
        <w:t xml:space="preserve"> </w:t>
      </w:r>
      <w:r>
        <w:t xml:space="preserve">(Makowski et al., 2023)</w:t>
      </w:r>
      <w:r>
        <w:t xml:space="preserve">, illusion sensitivity was modelled using hierarchical Bayesian General Additive Models, which capture non-linear effects of illusion strength, task difficulty, and their interaction, while also decomposing components of the response time distribution. Su</w:t>
      </w:r>
      <w:r>
        <w:t xml:space="preserve"> </w:t>
      </w:r>
      <w:r>
        <w:t xml:space="preserve">ch models are better suited to extracting participant-specific parameters that more precisely reflect latent sensitivity to illusions.</w:t>
      </w:r>
    </w:p>
    <w:p>
      <w:pPr>
        <w:pStyle w:val="BodyText"/>
      </w:pPr>
      <w:r>
        <w:t xml:space="preserve">In contrast, although the present task robustly captured illusion sensitivity at the group level, the primary outcome (mean error rate in incongruent trials) aggregates across illusion strength and task difficulty, as well as variability in speed–accuracy trade-offs. As a result, this aggregated measure may obscure individual sensitivity profiles, such as differemces in responsiveness to increased illusion strength, which may be critical for detecting associations with personality traits.</w:t>
      </w:r>
      <w:r>
        <w:t xml:space="preserve"> </w:t>
      </w:r>
      <w:r>
        <w:t xml:space="preserve">Although the inclusion of IES partially addresses this limitation by combining speed and accuracy, it assumes that both reflect a single underlying process. This assumption may not hold in the present task, where illusion strength and task difficulty likely differentially influence perceptual bias and decision processes. Consequently, IES may also obscure meaningful individual differences rather than recover them.</w:t>
      </w:r>
      <w:r>
        <w:t xml:space="preserve"> </w:t>
      </w:r>
      <w:r>
        <w:t xml:space="preserve">Taken together, if the relationship between psychoticism and illusion sensitivity depends on condition-specific patterns of performance, simplified summary metrics may lack the resolution required to detect it. Future research should therefore examine this relationship using modelling approaches that retain trial-level structure and estimate participant-specific sensitivity parameters.</w:t>
      </w:r>
    </w:p>
    <w:p>
      <w:pPr>
        <w:pStyle w:val="BodyText"/>
      </w:pPr>
      <w:r>
        <w:t xml:space="preserve">Our findings are consistent with the cognitive impenetrability account proposed by Lush et al. (2022), whereby visual illusions are primarily driven by low-level perceptual processes that are relatively insensitive to higher-order cognitive influences such as phenomenological control.</w:t>
      </w:r>
      <w:r>
        <w:t xml:space="preserve"> </w:t>
      </w:r>
      <w:r>
        <w:t xml:space="preserve">However, as discussed above, our use of simplified outcome measures may have reduced sensitivity to individual differences.</w:t>
      </w:r>
      <w:r>
        <w:t xml:space="preserve"> </w:t>
      </w:r>
      <w:r>
        <w:t xml:space="preserve">As such, replicating these finidngs with participant-specific parameters are needed.</w:t>
      </w:r>
    </w:p>
    <w:bookmarkEnd w:id="58"/>
    <w:bookmarkStart w:id="59" w:name="data-availability"/>
    <w:p>
      <w:pPr>
        <w:pStyle w:val="Heading1"/>
      </w:pPr>
      <w:r>
        <w:t xml:space="preserve">Data Availability</w:t>
      </w:r>
    </w:p>
    <w:p>
      <w:pPr>
        <w:pStyle w:val="FirstParagraph"/>
      </w:pPr>
      <w:r>
        <w:t xml:space="preserve">All the study materials, experiment, data, and analysis is available on GitHub. [For the review process the pcs materials, the illusion game, and the analyses scripts can be accessed here:</w:t>
      </w:r>
      <w:r>
        <w:t xml:space="preserve"> </w:t>
      </w:r>
      <w:r>
        <w:rPr>
          <w:b/>
          <w:bCs/>
        </w:rPr>
        <w:t xml:space="preserve">https://osf.io/da3u6/?view_only=247d4efa1afe456aa07662732946d4e6</w:t>
      </w:r>
      <w:r>
        <w:t xml:space="preserve">. Note this link will be replaced with the GitHub page of the current project upon completion of the review process to ensure continued anonymisation].</w:t>
      </w:r>
    </w:p>
    <w:bookmarkEnd w:id="59"/>
    <w:bookmarkStart w:id="60" w:name="acknowledgments"/>
    <w:p>
      <w:pPr>
        <w:pStyle w:val="Heading1"/>
      </w:pPr>
      <w:r>
        <w:t xml:space="preserve">Acknowledgments</w:t>
      </w:r>
    </w:p>
    <w:p>
      <w:pPr>
        <w:pStyle w:val="FirstParagraph"/>
      </w:pPr>
      <w:r>
        <w:t xml:space="preserve">We would like to thank An Shu Te for her help in setting up the project, Ryan Scott for his help in implementing the phenomenological control scale, and Zoltan Dienes for his input, feedback and guidance.</w:t>
      </w:r>
    </w:p>
    <w:p>
      <w:r>
        <w:br w:type="page"/>
      </w:r>
    </w:p>
    <w:bookmarkEnd w:id="60"/>
    <w:bookmarkStart w:id="121" w:name="references"/>
    <w:p>
      <w:pPr>
        <w:pStyle w:val="Heading1"/>
      </w:pPr>
      <w:r>
        <w:t xml:space="preserve">References</w:t>
      </w:r>
    </w:p>
    <w:bookmarkStart w:id="120" w:name="refs"/>
    <w:bookmarkStart w:id="61"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1"/>
    <w:bookmarkStart w:id="63"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2">
        <w:r>
          <w:rPr>
            <w:rStyle w:val="Hyperlink"/>
          </w:rPr>
          <w:t xml:space="preserve">https://doi.org/10.1016/j.schres.2022.12.030</w:t>
        </w:r>
      </w:hyperlink>
    </w:p>
    <w:bookmarkEnd w:id="63"/>
    <w:bookmarkStart w:id="64"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4"/>
    <w:bookmarkStart w:id="65"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5"/>
    <w:bookmarkStart w:id="67"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6">
        <w:r>
          <w:rPr>
            <w:rStyle w:val="Hyperlink"/>
          </w:rPr>
          <w:t xml:space="preserve">https://doi.org/10.3758/s13428-023-02161-x</w:t>
        </w:r>
      </w:hyperlink>
    </w:p>
    <w:bookmarkEnd w:id="67"/>
    <w:bookmarkStart w:id="69"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8">
        <w:r>
          <w:rPr>
            <w:rStyle w:val="Hyperlink"/>
          </w:rPr>
          <w:t xml:space="preserve">https://doi.org/10.1037/cns0000230</w:t>
        </w:r>
      </w:hyperlink>
    </w:p>
    <w:bookmarkEnd w:id="69"/>
    <w:bookmarkStart w:id="71"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0">
        <w:r>
          <w:rPr>
            <w:rStyle w:val="Hyperlink"/>
          </w:rPr>
          <w:t xml:space="preserve">https://doi.org/10.1038/nrn2787</w:t>
        </w:r>
      </w:hyperlink>
    </w:p>
    <w:bookmarkEnd w:id="71"/>
    <w:bookmarkStart w:id="73"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2">
        <w:r>
          <w:rPr>
            <w:rStyle w:val="Hyperlink"/>
          </w:rPr>
          <w:t xml:space="preserve">https://doi.org/10.1162/neco_a_00226</w:t>
        </w:r>
      </w:hyperlink>
    </w:p>
    <w:bookmarkEnd w:id="73"/>
    <w:bookmarkStart w:id="75"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4">
        <w:r>
          <w:rPr>
            <w:rStyle w:val="Hyperlink"/>
          </w:rPr>
          <w:t xml:space="preserve">https://doi.org/10.3389/fnhum.2016.00175</w:t>
        </w:r>
      </w:hyperlink>
    </w:p>
    <w:bookmarkEnd w:id="75"/>
    <w:bookmarkStart w:id="77"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6">
        <w:r>
          <w:rPr>
            <w:rStyle w:val="Hyperlink"/>
          </w:rPr>
          <w:t xml:space="preserve">https://doi.org/10.1080/00223891.2011.577478</w:t>
        </w:r>
      </w:hyperlink>
    </w:p>
    <w:bookmarkEnd w:id="77"/>
    <w:bookmarkStart w:id="79"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8">
        <w:r>
          <w:rPr>
            <w:rStyle w:val="Hyperlink"/>
          </w:rPr>
          <w:t xml:space="preserve">https://doi.org/10.21105/joss.02445</w:t>
        </w:r>
      </w:hyperlink>
    </w:p>
    <w:bookmarkEnd w:id="79"/>
    <w:bookmarkStart w:id="81"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0">
        <w:r>
          <w:rPr>
            <w:rStyle w:val="Hyperlink"/>
          </w:rPr>
          <w:t xml:space="preserve">https://easystats.github.io/easystats/</w:t>
        </w:r>
      </w:hyperlink>
    </w:p>
    <w:bookmarkEnd w:id="81"/>
    <w:bookmarkStart w:id="83"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2">
        <w:r>
          <w:rPr>
            <w:rStyle w:val="Hyperlink"/>
          </w:rPr>
          <w:t xml:space="preserve">https://doi.org/10.1093/nc/niy006</w:t>
        </w:r>
      </w:hyperlink>
    </w:p>
    <w:bookmarkEnd w:id="83"/>
    <w:bookmarkStart w:id="85"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4">
        <w:r>
          <w:rPr>
            <w:rStyle w:val="Hyperlink"/>
          </w:rPr>
          <w:t xml:space="preserve">https://doi.org/10.1525/collabra.29542</w:t>
        </w:r>
      </w:hyperlink>
    </w:p>
    <w:bookmarkEnd w:id="85"/>
    <w:bookmarkStart w:id="87"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6">
        <w:r>
          <w:rPr>
            <w:rStyle w:val="Hyperlink"/>
          </w:rPr>
          <w:t xml:space="preserve">http://dx.doi.org/10.31234/osf.io/hw4y9</w:t>
        </w:r>
      </w:hyperlink>
    </w:p>
    <w:bookmarkEnd w:id="87"/>
    <w:bookmarkStart w:id="89"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8">
        <w:r>
          <w:rPr>
            <w:rStyle w:val="Hyperlink"/>
          </w:rPr>
          <w:t xml:space="preserve">https://doi.org/10.21105/joss.01541</w:t>
        </w:r>
      </w:hyperlink>
    </w:p>
    <w:bookmarkEnd w:id="89"/>
    <w:bookmarkStart w:id="91"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0">
        <w:r>
          <w:rPr>
            <w:rStyle w:val="Hyperlink"/>
          </w:rPr>
          <w:t xml:space="preserve">https://doi.org/10.1177/03010066211057347</w:t>
        </w:r>
      </w:hyperlink>
    </w:p>
    <w:bookmarkEnd w:id="91"/>
    <w:bookmarkStart w:id="93"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2">
        <w:r>
          <w:rPr>
            <w:rStyle w:val="Hyperlink"/>
          </w:rPr>
          <w:t xml:space="preserve">https://doi.org/10.1038/s41598-023-33148-5</w:t>
        </w:r>
      </w:hyperlink>
    </w:p>
    <w:bookmarkEnd w:id="93"/>
    <w:bookmarkStart w:id="95"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4">
        <w:r>
          <w:rPr>
            <w:rStyle w:val="Hyperlink"/>
          </w:rPr>
          <w:t xml:space="preserve">https://CRAN.R-project.org/package=correlation</w:t>
        </w:r>
      </w:hyperlink>
    </w:p>
    <w:bookmarkEnd w:id="95"/>
    <w:bookmarkStart w:id="97"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6">
        <w:r>
          <w:rPr>
            <w:rStyle w:val="Hyperlink"/>
          </w:rPr>
          <w:t xml:space="preserve">https://doi.org/10.1002/aur.130</w:t>
        </w:r>
      </w:hyperlink>
    </w:p>
    <w:bookmarkEnd w:id="97"/>
    <w:bookmarkStart w:id="98"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8"/>
    <w:bookmarkStart w:id="100"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99">
        <w:r>
          <w:rPr>
            <w:rStyle w:val="Hyperlink"/>
          </w:rPr>
          <w:t xml:space="preserve">https://CRAN.R-project.org/package=BayesFactor</w:t>
        </w:r>
      </w:hyperlink>
    </w:p>
    <w:bookmarkEnd w:id="100"/>
    <w:bookmarkStart w:id="102"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1">
        <w:r>
          <w:rPr>
            <w:rStyle w:val="Hyperlink"/>
          </w:rPr>
          <w:t xml:space="preserve">https://doi.org/10.3389/fnint.2014.00063</w:t>
        </w:r>
      </w:hyperlink>
    </w:p>
    <w:bookmarkEnd w:id="102"/>
    <w:bookmarkStart w:id="103"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3"/>
    <w:bookmarkStart w:id="105"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4">
        <w:r>
          <w:rPr>
            <w:rStyle w:val="Hyperlink"/>
          </w:rPr>
          <w:t xml:space="preserve">https://doi.org/10.1037/bul0000097</w:t>
        </w:r>
      </w:hyperlink>
    </w:p>
    <w:bookmarkEnd w:id="105"/>
    <w:bookmarkStart w:id="107"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6">
        <w:r>
          <w:rPr>
            <w:rStyle w:val="Hyperlink"/>
          </w:rPr>
          <w:t xml:space="preserve">https://doi.org/10.21105/joss.04684</w:t>
        </w:r>
      </w:hyperlink>
    </w:p>
    <w:bookmarkEnd w:id="107"/>
    <w:bookmarkStart w:id="109"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8">
        <w:r>
          <w:rPr>
            <w:rStyle w:val="Hyperlink"/>
          </w:rPr>
          <w:t xml:space="preserve">https://doi.org/10.1007/s11055-014-9978-2</w:t>
        </w:r>
      </w:hyperlink>
    </w:p>
    <w:bookmarkEnd w:id="109"/>
    <w:bookmarkStart w:id="110"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0"/>
    <w:bookmarkStart w:id="112"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1">
        <w:r>
          <w:rPr>
            <w:rStyle w:val="Hyperlink"/>
          </w:rPr>
          <w:t xml:space="preserve">https://doi.org/10.1167/8.5.12</w:t>
        </w:r>
      </w:hyperlink>
    </w:p>
    <w:bookmarkEnd w:id="112"/>
    <w:bookmarkStart w:id="114"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3">
        <w:r>
          <w:rPr>
            <w:rStyle w:val="Hyperlink"/>
          </w:rPr>
          <w:t xml:space="preserve">https://doi.org/10.3758/s13428-024-02356-w</w:t>
        </w:r>
      </w:hyperlink>
    </w:p>
    <w:bookmarkEnd w:id="114"/>
    <w:bookmarkStart w:id="116"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5">
        <w:r>
          <w:rPr>
            <w:rStyle w:val="Hyperlink"/>
          </w:rPr>
          <w:t xml:space="preserve">https://doi.org/10.1177/0301006620962279</w:t>
        </w:r>
      </w:hyperlink>
    </w:p>
    <w:bookmarkEnd w:id="116"/>
    <w:bookmarkStart w:id="117"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7"/>
    <w:bookmarkStart w:id="119"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8">
        <w:r>
          <w:rPr>
            <w:rStyle w:val="Hyperlink"/>
          </w:rPr>
          <w:t xml:space="preserve">https://doi.org/10.21105/joss.01686</w:t>
        </w:r>
      </w:hyperlink>
    </w:p>
    <w:bookmarkEnd w:id="119"/>
    <w:bookmarkEnd w:id="120"/>
    <w:sectPr>
      <w:lnNumType w:countBy="1" w:restart="continuous"/>
    </w:sectPr>
    <w:bookmarkEnd w:id="121"/>
    <w:sectPr w:rsidR="007868AB" w:rsidRPr="003D73FF">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F1CB0"/>
    <w:rsid w:val="00216260"/>
    <w:rsid w:val="002239CF"/>
    <w:rsid w:val="00225010"/>
    <w:rsid w:val="002432D4"/>
    <w:rsid w:val="00250BD5"/>
    <w:rsid w:val="00251EDB"/>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B4D47"/>
    <w:rsid w:val="00DE772F"/>
    <w:rsid w:val="00E401D3"/>
    <w:rsid w:val="00E401FC"/>
    <w:rsid w:val="00E528E7"/>
    <w:rsid w:val="00E71E11"/>
    <w:rsid w:val="00E868AE"/>
    <w:rsid w:val="00EA4191"/>
    <w:rsid w:val="00EA785F"/>
    <w:rsid w:val="00F13DD4"/>
    <w:rsid w:val="00F3598F"/>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3D73FF"/>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pPr>
      <w:ind w:firstLine="0"/>
    </w:pPr>
  </w:style>
  <w:style w:customStyle="1" w:styleId="AbstractChar" w:type="character">
    <w:name w:val="Abstract Char"/>
    <w:basedOn w:val="DefaultParagraphFont"/>
    <w:link w:val="Abstract"/>
    <w:rsid w:val="003D73FF"/>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1" Target="media/rId21.svg" /><Relationship Type="http://schemas.openxmlformats.org/officeDocument/2006/relationships/image" Id="rId34" Target="media/rId34.jpg" /><Relationship Type="http://schemas.openxmlformats.org/officeDocument/2006/relationships/hyperlink" Id="rId86" Target="http://dx.doi.org/10.31234/osf.io/hw4y9" TargetMode="External" /><Relationship Type="http://schemas.openxmlformats.org/officeDocument/2006/relationships/hyperlink" Id="rId99" Target="https://CRAN.R-project.org/package=BayesFactor" TargetMode="External" /><Relationship Type="http://schemas.openxmlformats.org/officeDocument/2006/relationships/hyperlink" Id="rId94" Target="https://CRAN.R-project.org/package=correlation" TargetMode="External" /><Relationship Type="http://schemas.openxmlformats.org/officeDocument/2006/relationships/hyperlink" Id="rId96" Target="https://doi.org/10.1002/aur.130" TargetMode="External" /><Relationship Type="http://schemas.openxmlformats.org/officeDocument/2006/relationships/hyperlink" Id="rId108" Target="https://doi.org/10.1007/s11055-014-9978-2" TargetMode="External" /><Relationship Type="http://schemas.openxmlformats.org/officeDocument/2006/relationships/hyperlink" Id="rId62" Target="https://doi.org/10.1016/j.schres.2022.12.030" TargetMode="External" /><Relationship Type="http://schemas.openxmlformats.org/officeDocument/2006/relationships/hyperlink" Id="rId104" Target="https://doi.org/10.1037/bul0000097" TargetMode="External" /><Relationship Type="http://schemas.openxmlformats.org/officeDocument/2006/relationships/hyperlink" Id="rId68" Target="https://doi.org/10.1037/cns0000230" TargetMode="External" /><Relationship Type="http://schemas.openxmlformats.org/officeDocument/2006/relationships/hyperlink" Id="rId70" Target="https://doi.org/10.1038/nrn2787" TargetMode="External" /><Relationship Type="http://schemas.openxmlformats.org/officeDocument/2006/relationships/hyperlink" Id="rId92" Target="https://doi.org/10.1038/s41598-023-33148-5" TargetMode="External" /><Relationship Type="http://schemas.openxmlformats.org/officeDocument/2006/relationships/hyperlink" Id="rId76" Target="https://doi.org/10.1080/00223891.2011.577478" TargetMode="External" /><Relationship Type="http://schemas.openxmlformats.org/officeDocument/2006/relationships/hyperlink" Id="rId82" Target="https://doi.org/10.1093/nc/niy006" TargetMode="External" /><Relationship Type="http://schemas.openxmlformats.org/officeDocument/2006/relationships/hyperlink" Id="rId72" Target="https://doi.org/10.1162/neco_a_00226" TargetMode="External" /><Relationship Type="http://schemas.openxmlformats.org/officeDocument/2006/relationships/hyperlink" Id="rId111" Target="https://doi.org/10.1167/8.5.12" TargetMode="External" /><Relationship Type="http://schemas.openxmlformats.org/officeDocument/2006/relationships/hyperlink" Id="rId115" Target="https://doi.org/10.1177/0301006620962279" TargetMode="External" /><Relationship Type="http://schemas.openxmlformats.org/officeDocument/2006/relationships/hyperlink" Id="rId90" Target="https://doi.org/10.1177/03010066211057347" TargetMode="External" /><Relationship Type="http://schemas.openxmlformats.org/officeDocument/2006/relationships/hyperlink" Id="rId84" Target="https://doi.org/10.1525/collabra.29542" TargetMode="External" /><Relationship Type="http://schemas.openxmlformats.org/officeDocument/2006/relationships/hyperlink" Id="rId88" Target="https://doi.org/10.21105/joss.01541" TargetMode="External" /><Relationship Type="http://schemas.openxmlformats.org/officeDocument/2006/relationships/hyperlink" Id="rId118" Target="https://doi.org/10.21105/joss.01686" TargetMode="External" /><Relationship Type="http://schemas.openxmlformats.org/officeDocument/2006/relationships/hyperlink" Id="rId78" Target="https://doi.org/10.21105/joss.02445" TargetMode="External" /><Relationship Type="http://schemas.openxmlformats.org/officeDocument/2006/relationships/hyperlink" Id="rId106" Target="https://doi.org/10.21105/joss.04684" TargetMode="External" /><Relationship Type="http://schemas.openxmlformats.org/officeDocument/2006/relationships/hyperlink" Id="rId74" Target="https://doi.org/10.3389/fnhum.2016.00175" TargetMode="External" /><Relationship Type="http://schemas.openxmlformats.org/officeDocument/2006/relationships/hyperlink" Id="rId101" Target="https://doi.org/10.3389/fnint.2014.00063" TargetMode="External" /><Relationship Type="http://schemas.openxmlformats.org/officeDocument/2006/relationships/hyperlink" Id="rId66" Target="https://doi.org/10.3758/s13428-023-02161-x" TargetMode="External" /><Relationship Type="http://schemas.openxmlformats.org/officeDocument/2006/relationships/hyperlink" Id="rId113" Target="https://doi.org/10.3758/s13428-024-02356-w" TargetMode="External" /><Relationship Type="http://schemas.openxmlformats.org/officeDocument/2006/relationships/hyperlink" Id="rId80" Target="https://easystats.github.io/easystats/" TargetMode="External" /></Relationships>
</file>

<file path=word/_rels/footnotes.xml.rels><?xml version="1.0" encoding="UTF-8"?><Relationships xmlns="http://schemas.openxmlformats.org/package/2006/relationships"><Relationship Type="http://schemas.openxmlformats.org/officeDocument/2006/relationships/hyperlink" Id="rId86" Target="http://dx.doi.org/10.31234/osf.io/hw4y9" TargetMode="External" /><Relationship Type="http://schemas.openxmlformats.org/officeDocument/2006/relationships/hyperlink" Id="rId99" Target="https://CRAN.R-project.org/package=BayesFactor" TargetMode="External" /><Relationship Type="http://schemas.openxmlformats.org/officeDocument/2006/relationships/hyperlink" Id="rId94" Target="https://CRAN.R-project.org/package=correlation" TargetMode="External" /><Relationship Type="http://schemas.openxmlformats.org/officeDocument/2006/relationships/hyperlink" Id="rId96" Target="https://doi.org/10.1002/aur.130" TargetMode="External" /><Relationship Type="http://schemas.openxmlformats.org/officeDocument/2006/relationships/hyperlink" Id="rId108" Target="https://doi.org/10.1007/s11055-014-9978-2" TargetMode="External" /><Relationship Type="http://schemas.openxmlformats.org/officeDocument/2006/relationships/hyperlink" Id="rId62" Target="https://doi.org/10.1016/j.schres.2022.12.030" TargetMode="External" /><Relationship Type="http://schemas.openxmlformats.org/officeDocument/2006/relationships/hyperlink" Id="rId104" Target="https://doi.org/10.1037/bul0000097" TargetMode="External" /><Relationship Type="http://schemas.openxmlformats.org/officeDocument/2006/relationships/hyperlink" Id="rId68" Target="https://doi.org/10.1037/cns0000230" TargetMode="External" /><Relationship Type="http://schemas.openxmlformats.org/officeDocument/2006/relationships/hyperlink" Id="rId70" Target="https://doi.org/10.1038/nrn2787" TargetMode="External" /><Relationship Type="http://schemas.openxmlformats.org/officeDocument/2006/relationships/hyperlink" Id="rId92" Target="https://doi.org/10.1038/s41598-023-33148-5" TargetMode="External" /><Relationship Type="http://schemas.openxmlformats.org/officeDocument/2006/relationships/hyperlink" Id="rId76" Target="https://doi.org/10.1080/00223891.2011.577478" TargetMode="External" /><Relationship Type="http://schemas.openxmlformats.org/officeDocument/2006/relationships/hyperlink" Id="rId82" Target="https://doi.org/10.1093/nc/niy006" TargetMode="External" /><Relationship Type="http://schemas.openxmlformats.org/officeDocument/2006/relationships/hyperlink" Id="rId72" Target="https://doi.org/10.1162/neco_a_00226" TargetMode="External" /><Relationship Type="http://schemas.openxmlformats.org/officeDocument/2006/relationships/hyperlink" Id="rId111" Target="https://doi.org/10.1167/8.5.12" TargetMode="External" /><Relationship Type="http://schemas.openxmlformats.org/officeDocument/2006/relationships/hyperlink" Id="rId115" Target="https://doi.org/10.1177/0301006620962279" TargetMode="External" /><Relationship Type="http://schemas.openxmlformats.org/officeDocument/2006/relationships/hyperlink" Id="rId90" Target="https://doi.org/10.1177/03010066211057347" TargetMode="External" /><Relationship Type="http://schemas.openxmlformats.org/officeDocument/2006/relationships/hyperlink" Id="rId84" Target="https://doi.org/10.1525/collabra.29542" TargetMode="External" /><Relationship Type="http://schemas.openxmlformats.org/officeDocument/2006/relationships/hyperlink" Id="rId88" Target="https://doi.org/10.21105/joss.01541" TargetMode="External" /><Relationship Type="http://schemas.openxmlformats.org/officeDocument/2006/relationships/hyperlink" Id="rId118" Target="https://doi.org/10.21105/joss.01686" TargetMode="External" /><Relationship Type="http://schemas.openxmlformats.org/officeDocument/2006/relationships/hyperlink" Id="rId78" Target="https://doi.org/10.21105/joss.02445" TargetMode="External" /><Relationship Type="http://schemas.openxmlformats.org/officeDocument/2006/relationships/hyperlink" Id="rId106" Target="https://doi.org/10.21105/joss.04684" TargetMode="External" /><Relationship Type="http://schemas.openxmlformats.org/officeDocument/2006/relationships/hyperlink" Id="rId74" Target="https://doi.org/10.3389/fnhum.2016.00175" TargetMode="External" /><Relationship Type="http://schemas.openxmlformats.org/officeDocument/2006/relationships/hyperlink" Id="rId101" Target="https://doi.org/10.3389/fnint.2014.00063" TargetMode="External" /><Relationship Type="http://schemas.openxmlformats.org/officeDocument/2006/relationships/hyperlink" Id="rId66" Target="https://doi.org/10.3758/s13428-023-02161-x" TargetMode="External" /><Relationship Type="http://schemas.openxmlformats.org/officeDocument/2006/relationships/hyperlink" Id="rId113" Target="https://doi.org/10.3758/s13428-024-02356-w" TargetMode="External" /><Relationship Type="http://schemas.openxmlformats.org/officeDocument/2006/relationships/hyperlink" Id="rId80" Target="https://easystats.github.io/easysta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2026-04-27T18:57:40Z</dcterms:created>
  <dcterms:modified xsi:type="dcterms:W3CDTF">2026-04-27T18:57:40Z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 [N participants were recruited in an online study. Results will be added in the final version of the manuscript].</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fig-cap-location">
    <vt:lpwstr>top</vt:lpwstr>
  </property>
  <property fmtid="{D5CDD505-2E9C-101B-9397-08002B2CF9AE}" pid="17" name="floatsintext">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mask">
    <vt:lpwstr>False</vt:lpwstr>
  </property>
  <property fmtid="{D5CDD505-2E9C-101B-9397-08002B2CF9AE}" pid="25" name="numbered-lines">
    <vt:lpwstr>True</vt:lpwstr>
  </property>
  <property fmtid="{D5CDD505-2E9C-101B-9397-08002B2CF9AE}" pid="26" name="oneaffiliation">
    <vt:lpwstr>True</vt:lpwstr>
  </property>
  <property fmtid="{D5CDD505-2E9C-101B-9397-08002B2CF9AE}" pid="27" name="oneauthor">
    <vt:lpwstr>False</vt:lpwstr>
  </property>
  <property fmtid="{D5CDD505-2E9C-101B-9397-08002B2CF9AE}" pid="28" name="references">
    <vt:lpwstr/>
  </property>
  <property fmtid="{D5CDD505-2E9C-101B-9397-08002B2CF9AE}" pid="29" name="revealjs-plugins">
    <vt:lpwstr/>
  </property>
  <property fmtid="{D5CDD505-2E9C-101B-9397-08002B2CF9AE}" pid="30" name="shorttitle">
    <vt:lpwstr>ILLUSION SENSITIVITY AND PHENOMENOLOGICAL CONTROL</vt:lpwstr>
  </property>
  <property fmtid="{D5CDD505-2E9C-101B-9397-08002B2CF9AE}" pid="31" name="suppress-title-page">
    <vt:lpwstr>False</vt:lpwstr>
  </property>
  <property fmtid="{D5CDD505-2E9C-101B-9397-08002B2CF9AE}" pid="32" name="tbl-cap-location">
    <vt:lpwstr>top</vt:lpwstr>
  </property>
  <property fmtid="{D5CDD505-2E9C-101B-9397-08002B2CF9AE}" pid="33" name="toc-title">
    <vt:lpwstr>Table of contents</vt:lpwstr>
  </property>
  <property fmtid="{D5CDD505-2E9C-101B-9397-08002B2CF9AE}" pid="34" name="zerocitations">
    <vt:lpwstr>False</vt:lpwstr>
  </property>
</Properties>
</file>