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w:t>
      </w:r>
      <w:r>
        <w:t xml:space="preserve"> </w:t>
      </w:r>
      <w:r>
        <w:t xml:space="preserve">Their robust and reliable effect makes them useful stimuli to explore how perception is constructed and shaped, and several theoretical models have been put forth to explain how they work.</w:t>
      </w:r>
      <w:r>
        <w:t xml:space="preserve"> </w:t>
      </w:r>
      <w:r>
        <w:rPr>
          <w:b/>
          <w:bCs/>
        </w:rPr>
        <w:t xml:space="preserve">In particular, illusions have been reframed using a predictive coding account of perception</w:t>
      </w:r>
      <w:r>
        <w:rPr>
          <w:b/>
          <w:bCs/>
        </w:rPr>
        <w:t xml:space="preserve"> </w:t>
      </w:r>
      <w:r>
        <w:rPr>
          <w:b/>
          <w:bCs/>
        </w:rPr>
        <w:t xml:space="preserve">(e.g., Notredame et al., 2014; Nour &amp; Nour, 2015)</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w:t>
      </w:r>
      <w:r>
        <w:t xml:space="preserve"> </w:t>
      </w:r>
      <w:r>
        <w:t xml:space="preserve">In other words, the weight of priors, in the form of perceptual knowledge about the world (e.g., internalized rules of perspective) is amplified when the sensory input is confusing.</w:t>
      </w:r>
      <w:r>
        <w:t xml:space="preserve"> </w:t>
      </w:r>
      <w:r>
        <w:t xml:space="preserve">For instance, in the Müller-Lyer illusion, we</w:t>
      </w:r>
      <w:r>
        <w:t xml:space="preserve"> </w:t>
      </w:r>
      <w:r>
        <w:t xml:space="preserve">“compute”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w:t>
      </w:r>
      <w:r>
        <w:t xml:space="preserve"> </w:t>
      </w:r>
      <w:r>
        <w:t xml:space="preserve">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w:t>
      </w:r>
      <w:r>
        <w:t xml:space="preserve"> </w:t>
      </w:r>
      <w:r>
        <w:t xml:space="preserve">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w:t>
      </w:r>
      <w:r>
        <w:t xml:space="preserve"> </w:t>
      </w:r>
      <w:r>
        <w:t xml:space="preserve">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w:t>
      </w:r>
      <w:r>
        <w:t xml:space="preserve"> </w:t>
      </w:r>
      <w:r>
        <w:t xml:space="preserve">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w:t>
      </w:r>
      <w:r>
        <w:t xml:space="preserve"> </w:t>
      </w:r>
      <w:r>
        <w:t xml:space="preserve">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w:t>
      </w:r>
      <w:r>
        <w:t xml:space="preserve"> </w:t>
      </w:r>
      <w:r>
        <w:t xml:space="preserve">Relying on metacognitive judgments about one’s subjective experiences adds an additional layer to the measure that might not be desired when attempting to measure illusion</w:t>
      </w:r>
      <w:r>
        <w:t xml:space="preserve"> </w:t>
      </w:r>
      <w:r>
        <w:rPr>
          <w:b/>
          <w:bCs/>
        </w:rPr>
        <w:t xml:space="preserve">sensitivity</w:t>
      </w:r>
      <w:r>
        <w:t xml:space="preserve">.</w:t>
      </w:r>
      <w:r>
        <w:t xml:space="preserve"> </w:t>
      </w:r>
      <w:r>
        <w:t xml:space="preserve">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“Illusion Game”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“which of the left or right circles is bigger”</w:t>
      </w:r>
      <w:r>
        <w:t xml:space="preserve">).</w:t>
      </w:r>
      <w:r>
        <w:t xml:space="preserve"> </w:t>
      </w:r>
      <w:r>
        <w:t xml:space="preserve">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w:t>
      </w:r>
      <w:r>
        <w:t xml:space="preserve"> </w:t>
      </w:r>
      <w:r>
        <w:t xml:space="preserve">This paradigm, inspired by psychophysics, lends itself to the computational modelling of illusion sensitivity through its</w:t>
      </w:r>
      <w:r>
        <w:t xml:space="preserve"> </w:t>
      </w:r>
      <w:r>
        <w:rPr>
          <w:b/>
          <w:bCs/>
        </w:rPr>
        <w:t xml:space="preserve">interference effect —an effect that disrupts an individual’s ability to accurately discriminate between perceptual stimuli.</w:t>
      </w:r>
      <w:r>
        <w:t xml:space="preserve"> </w:t>
      </w:r>
      <w:r>
        <w:rPr>
          <w:b/>
          <w:bCs/>
        </w:rPr>
        <w:t xml:space="preserve">This approach aims to bypass some of the metacognitive processes involved in other paradigms, offering a more direct and objective measure of how illusions influence perceptual judgment.</w:t>
      </w:r>
    </w:p>
    <w:p>
      <w:pPr>
        <w:pStyle w:val="BodyText"/>
      </w:pPr>
      <w:r>
        <w:t xml:space="preserve">Interestingly, the fact that inter-individual variability in illusion sensitivity seems to persist in this task suggests that it is not solely explained by</w:t>
      </w:r>
      <w:r>
        <w:t xml:space="preserve"> </w:t>
      </w:r>
      <w:r>
        <w:rPr>
          <w:b/>
          <w:bCs/>
        </w:rPr>
        <w:t xml:space="preserve">metacognitive ability differences</w:t>
      </w:r>
      <w:r>
        <w:t xml:space="preserve">, and gives rise to the following question: is the variability in illusion sensitivity related to low-level perceptual processes (e.g., baseline precision of perceptual priors), or rather to the ability to actively control and</w:t>
      </w:r>
      <w:r>
        <w:t xml:space="preserve"> </w:t>
      </w:r>
      <w:r>
        <w:t xml:space="preserve">“resist”</w:t>
      </w:r>
      <w:r>
        <w:t xml:space="preserve"> </w:t>
      </w:r>
      <w:r>
        <w:t xml:space="preserve">the illusion in order to achieve the task at hand (higher-level modulation of the perceptual inference parameters).</w:t>
      </w:r>
      <w:r>
        <w:t xml:space="preserve"> </w:t>
      </w:r>
      <w:r>
        <w:t xml:space="preserve">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“phenomenological control”</w:t>
      </w:r>
      <w:r>
        <w:t xml:space="preserve">.</w:t>
      </w:r>
    </w:p>
    <w:p>
      <w:pPr>
        <w:pStyle w:val="BodyText"/>
      </w:pPr>
      <w:r>
        <w:t xml:space="preserve">The idea that we are endowed with the potential to unconsciously alter our subjective experience and distort reality - even momentarily - to meet the goals at hand is not novel.</w:t>
      </w:r>
      <w:r>
        <w:t xml:space="preserve"> </w:t>
      </w:r>
      <w:r>
        <w:t xml:space="preserve">While this phenomenon has been historically often studied under the label of</w:t>
      </w:r>
      <w:r>
        <w:t xml:space="preserve"> </w:t>
      </w:r>
      <w:r>
        <w:t xml:space="preserve">“hypnotisability”</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“phenomenological control”</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w:t>
      </w:r>
      <w:r>
        <w:t xml:space="preserve"> </w:t>
      </w:r>
      <w:r>
        <w:rPr>
          <w:b/>
          <w:bCs/>
        </w:rPr>
        <w:t xml:space="preserve">This newly developed phenomenological control scale (PCS) consists of 10 imaginative suggestions followed by subjective ratings for each suggestion and has demonstrated validity in online experiments</w:t>
      </w:r>
      <w:r>
        <w:rPr>
          <w:b/>
          <w:bCs/>
        </w:rPr>
        <w:t xml:space="preserve"> </w:t>
      </w:r>
      <w:r>
        <w:rPr>
          <w:b/>
          <w:bCs/>
        </w:rPr>
        <w:t xml:space="preserve">(Lush et al., 2022)</w:t>
      </w:r>
      <w:r>
        <w:rPr>
          <w:b/>
          <w:bCs/>
        </w:rP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w:t>
      </w:r>
      <w:r>
        <w:t xml:space="preserve"> </w:t>
      </w:r>
      <w:r>
        <w:t xml:space="preserve">This finding was interpreted as indicative of the cognitive impenetrability of illusions, implying that the effect is driven by low-level processes and therefore not influenced by top-down mechanisms such as PC.</w:t>
      </w:r>
      <w:r>
        <w:t xml:space="preserve">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w:t>
      </w:r>
      <w:r>
        <w:rPr>
          <w:b/>
          <w:bCs/>
        </w:rPr>
        <w:t xml:space="preserve"> </w:t>
      </w:r>
      <w:r>
        <w:rPr>
          <w:b/>
          <w:bCs/>
          <w:i/>
          <w:iCs/>
        </w:rPr>
        <w:t xml:space="preserve">perceptual</w:t>
      </w:r>
      <w:r>
        <w:rPr>
          <w:b/>
          <w:bCs/>
        </w:rPr>
        <w:t xml:space="preserve"> </w:t>
      </w:r>
      <w:r>
        <w:rPr>
          <w:b/>
          <w:bCs/>
        </w:rPr>
        <w:t xml:space="preserve">priors)</w:t>
      </w:r>
      <w:r>
        <w:t xml:space="preserve">.</w:t>
      </w:r>
    </w:p>
    <w:p>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w:t>
      </w:r>
      <w:r>
        <w:t xml:space="preserve"> </w:t>
      </w:r>
      <w:r>
        <w:rPr>
          <w:b/>
          <w:bCs/>
        </w:rPr>
        <w:t xml:space="preserve">Additionally, we will explore the relationship between psychoticism, as a proxy for schizophrenia, and illusion sensitivity to assess the potential impact of lower-level effects—such as weak priors observed in individuals with schizophrenia</w:t>
      </w:r>
      <w:r>
        <w:rPr>
          <w:b/>
          <w:bCs/>
        </w:rPr>
        <w:t xml:space="preserve"> </w:t>
      </w:r>
      <w:r>
        <w:rPr>
          <w:b/>
          <w:bCs/>
        </w:rPr>
        <w:t xml:space="preserve">(Costa et al., 2023)</w:t>
      </w:r>
      <w:r>
        <w:rPr>
          <w:b/>
          <w:bCs/>
        </w:rPr>
        <w:t xml:space="preserve">—on sensitivity to illusions.</w:t>
      </w:r>
      <w:r>
        <w:t xml:space="preserve"> </w:t>
      </w:r>
      <w:r>
        <w:rPr>
          <w:b/>
          <w:bCs/>
        </w:rPr>
        <w:t xml:space="preserve">These analyses may offer evidence clarifying whether inter-individual variability in illusion sensitivity is driven by lower-level perceptual mechanisms or higher-level cognitive processes (</w:t>
      </w:r>
      <w:hyperlink w:anchor="tbl-DesignTable">
        <w:r>
          <w:rPr>
            <w:rStyle w:val="Hyperlink"/>
            <w:b/>
            <w:bCs/>
          </w:rPr>
          <w:t xml:space="preserve">Table 1</w:t>
        </w:r>
      </w:hyperlink>
      <w:r>
        <w:rPr>
          <w:b/>
          <w:bCs/>
        </w:rPr>
        <w:t xml:space="preserve">).</w:t>
      </w:r>
    </w:p>
    <w:bookmarkStart w:id="30" w:name="tbl-DesignTable"/>
    <w:p>
      <w:pPr>
        <w:pStyle w:val="FigureTitle"/>
      </w:pPr>
      <w:r>
        <w:t xml:space="preserve">Table 1</w:t>
      </w:r>
    </w:p>
    <w:p>
      <w:pPr>
        <w:pStyle w:val="Caption"/>
      </w:pPr>
      <w:r>
        <w:t xml:space="preserve">Study Design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Question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Is there a correlation between trait phenomenological control (PC) and visual illusion (VI) sensitivity? Additionally, is there a relationship between VI sensitivity and the psychoticism facet of the PID-5, as a proxy for schizophrenia-related traits?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Hypothesis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Sampling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goal is to recruit around 500 adult English speakers using Prolific. This sample size is based on the ones used in Lush et al., 2021 and Lush et al., 2022 that we aim at replicate.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Analysis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Rationale for Deciding the Sensitivity of the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 the PC–VI sensitivity relationship, we will interpret BF₁₀ ≤ 1/3 as evidence against a relationship, in line with Lush et al. (2022). For the psychoticism–VI sensitivity relationship, BF₁₀ &gt; 3 will be interpreted as evidence supporting a relationship, following findings by Makowski et al. (2023).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Interpretation Given Different Outcomes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trPr>
          <w:trHeight w:val="360"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Theory That Could Be Shown Wrong by the Outcomes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bookmarkEnd w:id="30"/>
    <w:bookmarkEnd w:id="31"/>
    <w:bookmarkStart w:id="41"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w:t>
      </w:r>
      <w:r>
        <w:t xml:space="preserve"> </w:t>
      </w:r>
      <w:r>
        <w:t xml:space="preserve">Participants will be first presented with an explanatory statement and the consent form, and can proceed by pressing a button to confirm they have read and understood the information.</w:t>
      </w:r>
      <w:r>
        <w:t xml:space="preserve"> </w:t>
      </w:r>
      <w:r>
        <w:t xml:space="preserve">This study has been approved by the ethics board of the School of Psychology of the University of Sussex (ER/ASF25/5).</w:t>
      </w:r>
    </w:p>
    <w:bookmarkEnd w:id="32"/>
    <w:bookmarkStart w:id="39"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w:t>
      </w:r>
      <w:r>
        <w:t xml:space="preserve"> </w:t>
      </w:r>
      <w:r>
        <w:t xml:space="preserve">The online experiment, implemented entirely using JsPsych</w:t>
      </w:r>
      <w:r>
        <w:t xml:space="preserve"> </w:t>
      </w:r>
      <w:r>
        <w:t xml:space="preserve">(De Leeuw, 2015)</w:t>
      </w:r>
      <w:r>
        <w:t xml:space="preserve">, has its code stored on GitHub and will leverage the power of the platform to host the experiment for free.</w:t>
      </w:r>
      <w:r>
        <w:t xml:space="preserve"> </w:t>
      </w:r>
      <w:r>
        <w:t xml:space="preserve">Participant’s raw data files (containing identifiers)</w:t>
      </w:r>
      <w:r>
        <w:t xml:space="preserve"> </w:t>
      </w:r>
      <w:r>
        <w:rPr>
          <w:b/>
          <w:bCs/>
        </w:rPr>
        <w:t xml:space="preserve">are</w:t>
      </w:r>
      <w:r>
        <w:t xml:space="preserve"> </w:t>
      </w:r>
      <w:r>
        <w:t xml:space="preserve">automatically stored in a private OSF repository.</w:t>
      </w:r>
      <w:r>
        <w:t xml:space="preserve"> </w:t>
      </w:r>
      <w:r>
        <w:t xml:space="preserve">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not directly analyzed in the current study, they will be used to provide a detailed and thorough description of the sample and maximizing data reusability.</w:t>
      </w:r>
      <w:r>
        <w:t xml:space="preserve"> </w:t>
      </w:r>
      <w:r>
        <w:rPr>
          <w:b/>
          <w:bCs/>
        </w:rPr>
        <w:t xml:space="preserve">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w:t>
      </w:r>
      <w:r>
        <w:t xml:space="preserve"> </w:t>
      </w:r>
      <w:r>
        <w:t xml:space="preserve">The PCS procedure starts with a recorded introduction explaining that a series of tests will be applied to evaluate how experiences can be created through imagination.</w:t>
      </w:r>
      <w:r>
        <w:t xml:space="preserve"> </w:t>
      </w:r>
      <w:r>
        <w:t xml:space="preserve">This will be followed by 10 suggestions in a fixed order</w:t>
      </w:r>
      <w:r>
        <w:t xml:space="preserve"> </w:t>
      </w:r>
      <w:r>
        <w:t xml:space="preserve">(see Lush et al., 2021)</w:t>
      </w:r>
      <w:r>
        <w:t xml:space="preserve">, such as</w:t>
      </w:r>
      <w:r>
        <w:t xml:space="preserve"> </w:t>
      </w:r>
      <w:r>
        <w:t xml:space="preserve">“now extend your arms ahead of you, with palms facing each other, hands about a foot apart”</w:t>
      </w:r>
      <w:r>
        <w:t xml:space="preserve"> </w:t>
      </w:r>
      <w:r>
        <w:t xml:space="preserve">and</w:t>
      </w:r>
      <w:r>
        <w:t xml:space="preserve"> </w:t>
      </w:r>
      <w:r>
        <w:t xml:space="preserve">“as you sit comfortably in your chair with your eyes closed, a picture of two balls will be displayed on the computer screen”</w:t>
      </w:r>
      <w:r>
        <w:t xml:space="preserve">.</w:t>
      </w:r>
      <w:r>
        <w:t xml:space="preserve"> </w:t>
      </w:r>
      <w:r>
        <w:rPr>
          <w:b/>
          <w:bCs/>
        </w:rPr>
        <w:t xml:space="preserve">Once the 10 suggestions are completed, participants will be asked to rate their subjective experiences and response to each suggestion on a 6-points Likert scale (from 0-5).</w:t>
      </w:r>
      <w:r>
        <w:t xml:space="preserve"> </w:t>
      </w:r>
      <w:r>
        <w:t xml:space="preserve">Phenomenological control will be indexed by averaging the scores from the 10 scales.</w:t>
      </w:r>
    </w:p>
    <w:bookmarkEnd w:id="33"/>
    <w:bookmarkStart w:id="38" w:name="illusion-game"/>
    <w:p>
      <w:pPr>
        <w:pStyle w:val="Heading3"/>
      </w:pPr>
      <w:r>
        <w:t xml:space="preserve">Illusion Game</w:t>
      </w:r>
    </w:p>
    <w:p>
      <w:pPr>
        <w:pStyle w:val="FirstParagraph"/>
      </w:pPr>
      <w:r>
        <w:t xml:space="preserve">The task is an adaptation of the one used in Makowski et al. (2023) to make it shorter, in which participants must make perceptual judgments (e.g.,</w:t>
      </w:r>
      <w:r>
        <w:t xml:space="preserve"> </w:t>
      </w:r>
      <w:r>
        <w:t xml:space="preserve">“which red line is the longer”</w:t>
      </w:r>
      <w:r>
        <w:t xml:space="preserve">) as quickly and accurately as possible. It includes 3 illusion types, namely Ebbinghaus, Müller-Lyer, and Vertical-Horizontal (see</w:t>
      </w:r>
      <w:r>
        <w:t xml:space="preserve"> </w:t>
      </w:r>
      <w:hyperlink w:anchor="fig-illusionexample">
        <w:r>
          <w:rPr>
            <w:rStyle w:val="Hyperlink"/>
          </w:rPr>
          <w:t xml:space="preserve">Figure 1</w:t>
        </w:r>
      </w:hyperlink>
      <w:r>
        <w:t xml:space="preserve">).</w:t>
      </w:r>
      <w:r>
        <w:t xml:space="preserve"> </w:t>
      </w:r>
      <w:r>
        <w:rPr>
          <w:b/>
          <w:bCs/>
        </w:rPr>
        <w:t xml:space="preserve">In the original Illusion Game, 10 visual illusions were presented in two sets, following a practice trial, and separated by two short questionnaires.</w:t>
      </w:r>
      <w:r>
        <w:t xml:space="preserve"> </w:t>
      </w:r>
      <w:r>
        <w:rPr>
          <w:b/>
          <w:bCs/>
        </w:rPr>
        <w:t xml:space="preserve">Participants completed a total of 1,340 trials, with the experiment lasting approximately 55 minutes.</w:t>
      </w:r>
      <w:r>
        <w:t xml:space="preserve"> </w:t>
      </w:r>
      <w:r>
        <w:rPr>
          <w:b/>
          <w:bCs/>
        </w:rPr>
        <w:t xml:space="preserve">In the current procedure, only three illusions are used, selected based on the original study’s findings that these illusions most strongly contribute to illusion sensitivity.</w:t>
      </w:r>
    </w:p>
    <w:bookmarkStart w:id="37" w:name="fig-illusionexample"/>
    <w:p>
      <w:pPr>
        <w:pStyle w:val="FigureTitle"/>
      </w:pPr>
      <w:r>
        <w:t xml:space="preserve">Figure 1</w:t>
      </w:r>
    </w:p>
    <w:p>
      <w:pPr>
        <w:pStyle w:val="Caption"/>
      </w:pPr>
      <w:r>
        <w:t xml:space="preserve">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pPr>
        <w:pStyle w:val="FigureWithoutNote"/>
      </w:pPr>
      <w:r>
        <w:drawing>
          <wp:inline>
            <wp:extent cx="5943600" cy="2715011"/>
            <wp:effectExtent b="0" l="0" r="0" t="0"/>
            <wp:docPr descr="" title="" id="35" name="Picture"/>
            <a:graphic>
              <a:graphicData uri="http://schemas.openxmlformats.org/drawingml/2006/picture">
                <pic:pic>
                  <pic:nvPicPr>
                    <pic:cNvPr descr="img/IllusionTable.jpg" id="36" name="Picture"/>
                    <pic:cNvPicPr>
                      <a:picLocks noChangeArrowheads="1" noChangeAspect="1"/>
                    </pic:cNvPicPr>
                  </pic:nvPicPr>
                  <pic:blipFill>
                    <a:blip r:embed="rId34"/>
                    <a:stretch>
                      <a:fillRect/>
                    </a:stretch>
                  </pic:blipFill>
                  <pic:spPr bwMode="auto">
                    <a:xfrm>
                      <a:off x="0" y="0"/>
                      <a:ext cx="5943600" cy="2715011"/>
                    </a:xfrm>
                    <a:prstGeom prst="rect">
                      <a:avLst/>
                    </a:prstGeom>
                    <a:noFill/>
                    <a:ln w="9525">
                      <a:noFill/>
                      <a:headEnd/>
                      <a:tailEnd/>
                    </a:ln>
                  </pic:spPr>
                </pic:pic>
              </a:graphicData>
            </a:graphic>
          </wp:inline>
        </w:drawing>
      </w:r>
    </w:p>
    <w:bookmarkEnd w:id="37"/>
    <w:p>
      <w:pPr>
        <w:pStyle w:val="AfterWithoutNote"/>
      </w:pPr>
      <w:r>
        <w:t xml:space="preserve">The procedure encompasses 2 sets of 80 trials for each illusion type,</w:t>
      </w:r>
      <w:r>
        <w:t xml:space="preserve"> </w:t>
      </w:r>
      <w:r>
        <w:rPr>
          <w:b/>
          <w:bCs/>
        </w:rPr>
        <w:t xml:space="preserve">preceded by a practice trial for each illusion</w:t>
      </w:r>
      <w:r>
        <w:t xml:space="preserve">.</w:t>
      </w:r>
      <w:r>
        <w:t xml:space="preserve"> </w:t>
      </w:r>
      <w:r>
        <w:t xml:space="preserve">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w:t>
      </w:r>
      <w:r>
        <w:t xml:space="preserve"> </w:t>
      </w:r>
      <w:r>
        <w:t xml:space="preserve">After each illusion type block, an arbitrary score is presented (computed as a scaled Inverse Efficiency Score) as a gamification mechanism to increase motivation to perform to the best of one’s abilities.</w:t>
      </w:r>
      <w:r>
        <w:t xml:space="preserve"> </w:t>
      </w:r>
      <w:r>
        <w:t xml:space="preserve">To mitigate for the potential variability in the speed/accuracy trade-off, the instructions emphasize with equal weight to be fast and to avoid errors.</w:t>
      </w:r>
    </w:p>
    <w:p>
      <w:pPr>
        <w:pStyle w:val="BodyText"/>
      </w:pPr>
      <w:r>
        <w:t xml:space="preserve">For each illusion type, two continuous dimensions are orthogonally manipulated namely task difficulty and illusion strength, so that each trial corresponds to a unique combination,</w:t>
      </w:r>
      <w:r>
        <w:t xml:space="preserve"> </w:t>
      </w:r>
      <w:r>
        <w:rPr>
          <w:b/>
          <w:bCs/>
        </w:rPr>
        <w:t xml:space="preserve">providing an objectively correct answer for each trial.</w:t>
      </w:r>
      <w:r>
        <w:t xml:space="preserve"> </w:t>
      </w:r>
      <w:r>
        <w:rPr>
          <w:b/>
          <w:bCs/>
        </w:rPr>
        <w:t xml:space="preserve">The use of these manipulations allows concise, standardised reporting of illusion parameters and ensures our stimuli are fully reproducible</w:t>
      </w:r>
      <w:r>
        <w:rPr>
          <w:b/>
          <w:bCs/>
        </w:rPr>
        <w:t xml:space="preserve"> </w:t>
      </w:r>
      <w:r>
        <w:rPr>
          <w:b/>
          <w:bCs/>
        </w:rPr>
        <w:t xml:space="preserve">(see Makowski et al., 2021)</w:t>
      </w:r>
      <w:r>
        <w:rPr>
          <w:b/>
          <w:bCs/>
        </w:rPr>
        <w:t xml:space="preserve">.</w:t>
      </w:r>
    </w:p>
    <w:p>
      <w:pPr>
        <w:pStyle w:val="BodyText"/>
      </w:pPr>
      <w:r>
        <w:t xml:space="preserve">Task difficulty corresponds to the difficulty of the perceptual decision (e.g., if the task is to select the longest red line, task difficulty corresponds to how the lines are objectively different).</w:t>
      </w:r>
      <w:r>
        <w:t xml:space="preserve"> </w:t>
      </w:r>
      <w:r>
        <w:t xml:space="preserve">Illusion strength corresponds to the degree to which the illusion elements (e.g., the black arrow lines in Müller-Lyer) are interfering with the aforementioned task.</w:t>
      </w:r>
      <w:r>
        <w:t xml:space="preserve"> </w:t>
      </w:r>
      <w:r>
        <w:t xml:space="preserve">Note that the illusion effect can be either</w:t>
      </w:r>
      <w:r>
        <w:t xml:space="preserve"> </w:t>
      </w:r>
      <w:r>
        <w:t xml:space="preserve">“incongruent”</w:t>
      </w:r>
      <w:r>
        <w:t xml:space="preserve">,</w:t>
      </w:r>
      <w:r>
        <w:t xml:space="preserve"> </w:t>
      </w:r>
      <w:r>
        <w:rPr>
          <w:b/>
          <w:bCs/>
        </w:rPr>
        <w:t xml:space="preserve">making the task more difficult by biasing perceptual decisions toward the incorrect response</w:t>
      </w:r>
      <w:r>
        <w:t xml:space="preserve"> </w:t>
      </w:r>
      <w:r>
        <w:t xml:space="preserve">or</w:t>
      </w:r>
      <w:r>
        <w:t xml:space="preserve"> </w:t>
      </w:r>
      <w:r>
        <w:t xml:space="preserve">“congruent”</w:t>
      </w:r>
      <w:r>
        <w:t xml:space="preserve">,</w:t>
      </w:r>
      <w:r>
        <w:t xml:space="preserve"> </w:t>
      </w:r>
      <w:r>
        <w:rPr>
          <w:b/>
          <w:bCs/>
        </w:rPr>
        <w:t xml:space="preserve">making the task easier by biasing decisions toward the correct response (e.g., in the Müller-Lyer illusion, if the outwards-facing arrowheads are placed on the longer line, identifying which line is the longest becomes easier)</w:t>
      </w:r>
      <w:r>
        <w:t xml:space="preserve">.</w:t>
      </w:r>
      <w:r>
        <w:t xml:space="preserve"> </w:t>
      </w:r>
      <w:r>
        <w:t xml:space="preserve">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and separately for the 3 illusion types.</w:t>
      </w:r>
      <w:r>
        <w:t xml:space="preserve"> </w:t>
      </w:r>
      <w:r>
        <w:t xml:space="preserve">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w:t>
      </w:r>
      <w:r>
        <w:t xml:space="preserve"> </w:t>
      </w:r>
      <w:r>
        <w:rPr>
          <w:b/>
          <w:bCs/>
        </w:rPr>
        <w:t xml:space="preserve">registered report</w:t>
      </w:r>
      <w:r>
        <w:t xml:space="preserve">.</w:t>
      </w:r>
      <w:r>
        <w:t xml:space="preserve"> </w:t>
      </w:r>
      <w:r>
        <w:rPr>
          <w:b/>
          <w:bCs/>
        </w:rPr>
        <w:t xml:space="preserve">As a secondary exploratory outcome, the Inverse Efficiency Score</w:t>
      </w:r>
      <w:r>
        <w:rPr>
          <w:b/>
          <w:bCs/>
        </w:rPr>
        <w:t xml:space="preserve"> </w:t>
      </w:r>
      <w:r>
        <w:rPr>
          <w:b/>
          <w:bCs/>
        </w:rPr>
        <w:t xml:space="preserve">(IES, Townsend &amp; Ashby, 2014)</w:t>
      </w:r>
      <w:r>
        <w:rPr>
          <w:b/>
          <w:bCs/>
        </w:rPr>
        <w:t xml:space="preserve"> </w:t>
      </w:r>
      <w:r>
        <w:rPr>
          <w:b/>
          <w:bCs/>
        </w:rPr>
        <w:t xml:space="preserve">will also be computed. This metric incorporates both speed and accuracy by dividing the mean reaction time of correct responses by the proportion of correct responses, separately for each illusion.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r>
        <w:t xml:space="preserve"> </w:t>
      </w:r>
      <w:r>
        <w:t xml:space="preserve">These questionnaires are included as a way of providing a break between the two cognitively taxing blocks and maintain paradigmatic consistency with previous studies</w:t>
      </w:r>
      <w:r>
        <w:t xml:space="preserve"> </w:t>
      </w:r>
      <w:r>
        <w:t xml:space="preserve">(Makowski et al., 2023)</w:t>
      </w:r>
      <w:r>
        <w:t xml:space="preserve">.</w:t>
      </w:r>
      <w:r>
        <w:t xml:space="preserve"> </w:t>
      </w:r>
      <w:r>
        <w:rPr>
          <w:b/>
          <w:bCs/>
        </w:rPr>
        <w:t xml:space="preserve">Additionally, the psychoticism subscale of the PID-5 will be used to examine the correlation between maladaptive traits and illusion sensitivity, evaluating the existence of the link proposed in previous studies</w:t>
      </w:r>
      <w:r>
        <w:rPr>
          <w:b/>
          <w:bCs/>
        </w:rPr>
        <w:t xml:space="preserve"> </w:t>
      </w:r>
      <w:r>
        <w:rPr>
          <w:b/>
          <w:bCs/>
        </w:rPr>
        <w:t xml:space="preserve">(Costa et al., 2023)</w:t>
      </w:r>
      <w:r>
        <w:rPr>
          <w:b/>
          <w:bCs/>
        </w:rPr>
        <w:t xml:space="preserve">.</w:t>
      </w:r>
    </w:p>
    <w:bookmarkEnd w:id="38"/>
    <w:bookmarkEnd w:id="39"/>
    <w:bookmarkStart w:id="40" w:name="data-analysis"/>
    <w:p>
      <w:pPr>
        <w:pStyle w:val="Heading2"/>
      </w:pPr>
      <w:r>
        <w:t xml:space="preserve">Data Analysis</w:t>
      </w:r>
    </w:p>
    <w:p>
      <w:pPr>
        <w:pStyle w:val="FirstParagraph"/>
      </w:pPr>
      <w:r>
        <w:rPr>
          <w:b/>
          <w:bCs/>
        </w:rPr>
        <w:t xml:space="preserve">The phenomenological control scale will include several attention checks to identify problematic participants.</w:t>
      </w:r>
      <w:r>
        <w:t xml:space="preserve"> </w:t>
      </w:r>
      <w:r>
        <w:rPr>
          <w:b/>
          <w:bCs/>
        </w:rPr>
        <w:t xml:space="preserve">The task consists of various auditory and visual exercises; at the outset, participants hear a voice say</w:t>
      </w:r>
      <w:r>
        <w:rPr>
          <w:b/>
          <w:bCs/>
        </w:rPr>
        <w:t xml:space="preserve"> </w:t>
      </w:r>
      <w:r>
        <w:rPr>
          <w:b/>
          <w:bCs/>
        </w:rPr>
        <w:t xml:space="preserve">“hello”</w:t>
      </w:r>
      <w:r>
        <w:rPr>
          <w:b/>
          <w:bCs/>
        </w:rPr>
        <w:t xml:space="preserve"> </w:t>
      </w:r>
      <w:r>
        <w:rPr>
          <w:b/>
          <w:bCs/>
        </w:rPr>
        <w:t xml:space="preserve">and are asked to select the corresponding phrase from multiple options (e.g.,</w:t>
      </w:r>
      <w:r>
        <w:rPr>
          <w:b/>
          <w:bCs/>
        </w:rPr>
        <w:t xml:space="preserve"> </w:t>
      </w:r>
      <w:r>
        <w:rPr>
          <w:b/>
          <w:bCs/>
        </w:rPr>
        <w:t xml:space="preserve">“Hello,”</w:t>
      </w:r>
      <w:r>
        <w:rPr>
          <w:b/>
          <w:bCs/>
        </w:rPr>
        <w:t xml:space="preserve"> </w:t>
      </w:r>
      <w:r>
        <w:rPr>
          <w:b/>
          <w:bCs/>
        </w:rPr>
        <w:t xml:space="preserve">“Goodbye,”</w:t>
      </w:r>
      <w:r>
        <w:rPr>
          <w:b/>
          <w:bCs/>
        </w:rPr>
        <w:t xml:space="preserve"> </w:t>
      </w:r>
      <w:r>
        <w:rPr>
          <w:b/>
          <w:bCs/>
        </w:rPr>
        <w:t xml:space="preserve">“How are you,”</w:t>
      </w:r>
      <w:r>
        <w:rPr>
          <w:b/>
          <w:bCs/>
        </w:rPr>
        <w:t xml:space="preserve"> </w:t>
      </w:r>
      <w:r>
        <w:rPr>
          <w:b/>
          <w:bCs/>
        </w:rPr>
        <w:t xml:space="preserve">“Thank you”</w:t>
      </w:r>
      <w:r>
        <w:rPr>
          <w:b/>
          <w:bCs/>
        </w:rPr>
        <w:t xml:space="preserve">).</w:t>
      </w:r>
      <w:r>
        <w:t xml:space="preserve"> </w:t>
      </w:r>
      <w:r>
        <w:rPr>
          <w:b/>
          <w:bCs/>
        </w:rPr>
        <w:t xml:space="preserve">Selecting an incorrect response indicates inattention to auditory stimuli.</w:t>
      </w:r>
      <w:r>
        <w:t xml:space="preserve"> </w:t>
      </w:r>
      <w:r>
        <w:rPr>
          <w:b/>
          <w:bCs/>
        </w:rPr>
        <w:t xml:space="preserve">In a subsequent exercise, participants are instructed:</w:t>
      </w:r>
      <w:r>
        <w:rPr>
          <w:b/>
          <w:bCs/>
        </w:rPr>
        <w:t xml:space="preserve"> </w:t>
      </w:r>
      <w:r>
        <w:rPr>
          <w:b/>
          <w:bCs/>
        </w:rPr>
        <w:t xml:space="preserve">“Open your eyes. You will see only two balls on the screen… just two balls”</w:t>
      </w:r>
      <w:r>
        <w:rPr>
          <w:b/>
          <w:bCs/>
        </w:rPr>
        <w:t xml:space="preserve">.</w:t>
      </w:r>
      <w:r>
        <w:t xml:space="preserve"> </w:t>
      </w:r>
      <w:r>
        <w:rPr>
          <w:b/>
          <w:bCs/>
        </w:rPr>
        <w:t xml:space="preserve">However, three differently coloured balls are displayed.</w:t>
      </w:r>
      <w:r>
        <w:t xml:space="preserve"> </w:t>
      </w:r>
      <w:r>
        <w:rPr>
          <w:b/>
          <w:bCs/>
        </w:rPr>
        <w:t xml:space="preserve">If a participant selects the response</w:t>
      </w:r>
      <w:r>
        <w:rPr>
          <w:b/>
          <w:bCs/>
        </w:rPr>
        <w:t xml:space="preserve"> </w:t>
      </w:r>
      <w:r>
        <w:rPr>
          <w:b/>
          <w:bCs/>
        </w:rPr>
        <w:t xml:space="preserve">“no balls were shown,”</w:t>
      </w:r>
      <w:r>
        <w:rPr>
          <w:b/>
          <w:bCs/>
        </w:rPr>
        <w:t xml:space="preserve"> </w:t>
      </w:r>
      <w:r>
        <w:rPr>
          <w:b/>
          <w:bCs/>
        </w:rPr>
        <w:t xml:space="preserve">it suggests they failed to attend to both the auditory instruction and the visual stimuli.</w:t>
      </w:r>
      <w:r>
        <w:t xml:space="preserve"> </w:t>
      </w:r>
      <w:r>
        <w:rPr>
          <w:b/>
          <w:bCs/>
        </w:rPr>
        <w:t xml:space="preserve">In another task, participants are instructed to press the spacebar six times.</w:t>
      </w:r>
      <w:r>
        <w:t xml:space="preserve"> </w:t>
      </w:r>
      <w:r>
        <w:rPr>
          <w:b/>
          <w:bCs/>
        </w:rPr>
        <w:t xml:space="preserve">Pressing it fewer than five times within the allotted time indicates a failure to follow the auditory instructions.</w:t>
      </w:r>
      <w:r>
        <w:t xml:space="preserve"> </w:t>
      </w:r>
      <w:r>
        <w:rPr>
          <w:b/>
          <w:bCs/>
        </w:rPr>
        <w:t xml:space="preserve">Participants who fail any one of these will be excluded from further analysis.</w:t>
      </w:r>
      <w:r>
        <w:t xml:space="preserve"> </w:t>
      </w:r>
      <w:r>
        <w:rPr>
          <w:b/>
          <w:bCs/>
        </w:rPr>
        <w:t xml:space="preserve">Finally, the reliability of the PCS will be assessed by computing Cronbach’s alpha of its items</w:t>
      </w:r>
      <w:r>
        <w:rPr>
          <w:b/>
          <w:bCs/>
        </w:rPr>
        <w:t xml:space="preserve"> </w:t>
      </w:r>
      <w:r>
        <w:rPr>
          <w:b/>
          <w:bCs/>
        </w:rPr>
        <w:t xml:space="preserve">(Cronbach, 1951)</w:t>
      </w:r>
      <w:r>
        <w:rPr>
          <w:b/>
          <w:bCs/>
        </w:rPr>
        <w:t xml:space="preserve">.</w:t>
      </w:r>
    </w:p>
    <w:p>
      <w:pPr>
        <w:pStyle w:val="BodyText"/>
      </w:pPr>
      <w:r>
        <w:t xml:space="preserve">Outliers in the Illusion Game will be identified based on participants’ performance.</w:t>
      </w:r>
      <w:r>
        <w:t xml:space="preserve"> </w:t>
      </w:r>
      <w:r>
        <w:rPr>
          <w:b/>
          <w:bCs/>
        </w:rPr>
        <w:t xml:space="preserve">Specifically, any participant exhibiting an error rate greater than 45% for any illusion type will be considered to be responding at chance level (i.e., randomly) and flagged accordingly</w:t>
      </w:r>
      <w:r>
        <w:t xml:space="preserve">.</w:t>
      </w:r>
      <w:r>
        <w:t xml:space="preserve"> </w:t>
      </w:r>
      <w:r>
        <w:rPr>
          <w:b/>
          <w:bCs/>
        </w:rPr>
        <w:t xml:space="preserve">If this level of performance occurs in the first block, the entire participant will be excluded from analysis, as it suggests a failure to properly engage with the task.</w:t>
      </w:r>
      <w:r>
        <w:t xml:space="preserve"> </w:t>
      </w:r>
      <w:r>
        <w:rPr>
          <w:b/>
          <w:bCs/>
        </w:rPr>
        <w:t xml:space="preserve">However, if the elevated error rate is observed only in the second block, this will be interpreted as a loss of engagement or motivation (e.g., boredom due to task repetition).</w:t>
      </w:r>
      <w:r>
        <w:t xml:space="preserve"> </w:t>
      </w:r>
      <w:r>
        <w:rPr>
          <w:b/>
          <w:bCs/>
        </w:rPr>
        <w:t xml:space="preserve">In such cases, only the second block will be discarded, allowing for estimation of illusion sensitivity based on the valid data from the first block, albeit with reduced precision.</w:t>
      </w:r>
      <w:r>
        <w:t xml:space="preserve"> </w:t>
      </w:r>
      <w:r>
        <w:rPr>
          <w:b/>
          <w:bCs/>
        </w:rPr>
        <w:t xml:space="preserve">To mitigate the risk of confounding effects driven by extreme speed or accuracy strategies, participants whose RTs are significantly slower than the group average</w:t>
      </w:r>
      <w:r>
        <w:rPr>
          <w:b/>
          <w:bCs/>
        </w:rPr>
        <w:t xml:space="preserve"> </w:t>
      </w:r>
      <w:r>
        <w:rPr>
          <w:b/>
          <w:bCs/>
        </w:rPr>
        <w:t xml:space="preserve">(RT &gt; 4 SD above the mean, based on Makowski et al., 2023)</w:t>
      </w:r>
      <w:r>
        <w:rPr>
          <w:b/>
          <w:bCs/>
        </w:rPr>
        <w:t xml:space="preserve"> </w:t>
      </w:r>
      <w:r>
        <w:rPr>
          <w:b/>
          <w:bCs/>
        </w:rPr>
        <w:t xml:space="preserve">will be excluded from the analysis.</w:t>
      </w:r>
      <w:r>
        <w:t xml:space="preserve"> </w:t>
      </w:r>
      <w:r>
        <w:t xml:space="preserve">After removing problematic participants and trials, the outcome measures (PC and VI sensitivity scores) will be computed.</w:t>
      </w:r>
    </w:p>
    <w:p>
      <w:pPr>
        <w:pStyle w:val="BodyText"/>
      </w:pPr>
      <w:r>
        <w:rPr>
          <w:b/>
          <w:bCs/>
        </w:rPr>
        <w:t xml:space="preserve">To assess whether the illusions functioned as expected, stimuli will be categorized into three groups: Strong Illusion Strength &amp; Incongruent, Mild Illusion Strength &amp; Incongruent, and Congruent.</w:t>
      </w:r>
      <w:r>
        <w:t xml:space="preserve"> </w:t>
      </w:r>
      <w:r>
        <w:rPr>
          <w:b/>
          <w:bCs/>
        </w:rPr>
        <w:t xml:space="preserve">The two outcome measures—error rate and IES—will be computed separately for each illusion and each illusion strength group.</w:t>
      </w:r>
      <w:r>
        <w:t xml:space="preserve"> </w:t>
      </w:r>
      <w:r>
        <w:rPr>
          <w:b/>
          <w:bCs/>
        </w:rPr>
        <w:t xml:space="preserve">To evaluate differences between these conditions, two Bayesian t-tests will be conducted: one comparing the Congruent and Mild conditions, and the other comparing the Mild and Strong conditions.</w:t>
      </w:r>
      <w:r>
        <w:t xml:space="preserve"> </w:t>
      </w:r>
      <w:r>
        <w:rPr>
          <w:b/>
          <w:bCs/>
        </w:rPr>
        <w:t xml:space="preserve">Significant differences in either IES or error rate across these comparisons will be taken as evidence that the illusions operated as intended.</w:t>
      </w:r>
    </w:p>
    <w:p>
      <w:pPr>
        <w:pStyle w:val="BodyText"/>
      </w:pPr>
      <w:r>
        <w:rPr>
          <w:b/>
          <w:bCs/>
        </w:rPr>
        <w:t xml:space="preserve">Next, to determine whether the Mild and Strong Illusion Strength groups can be collapsed for further analysis, Bayesian correlations will be computed between them for each illusion and outcome measure.</w:t>
      </w:r>
      <w:r>
        <w:t xml:space="preserve"> </w:t>
      </w:r>
      <w:r>
        <w:rPr>
          <w:b/>
          <w:bCs/>
        </w:rPr>
        <w:t xml:space="preserve">If these correlations are sufficiently high</w:t>
      </w:r>
      <w:r>
        <w:rPr>
          <w:b/>
          <w:bCs/>
        </w:rPr>
        <w:t xml:space="preserve"> </w:t>
      </w:r>
      <w:r>
        <w:rPr>
          <w:b/>
          <w:bCs/>
        </w:rPr>
        <w:t xml:space="preserve">(r &gt; .50, Cohen, 2013)</w:t>
      </w:r>
      <w:r>
        <w:rPr>
          <w:b/>
          <w:bCs/>
        </w:rPr>
        <w:t xml:space="preserve">, the groups will be collapsed and outcomes recomputed across all relevant trials (i.e., by averaging across these groups).</w:t>
      </w:r>
      <w:r>
        <w:t xml:space="preserve"> </w:t>
      </w:r>
      <w:r>
        <w:rPr>
          <w:b/>
          <w:bCs/>
        </w:rPr>
        <w:t xml:space="preserve">If not, the groups will be analysed separately.</w:t>
      </w:r>
      <w:r>
        <w:t xml:space="preserve"> </w:t>
      </w:r>
      <w:r>
        <w:rPr>
          <w:b/>
          <w:bCs/>
        </w:rPr>
        <w:t xml:space="preserve">This step is necessary because reaction time may not have a linear relationship with illusion strength</w:t>
      </w:r>
      <w:r>
        <w:rPr>
          <w:b/>
          <w:bCs/>
        </w:rPr>
        <w:t xml:space="preserve"> </w:t>
      </w:r>
      <w:r>
        <w:rPr>
          <w:b/>
          <w:bCs/>
        </w:rPr>
        <w:t xml:space="preserve">(Makowski et al., 2023)</w:t>
      </w:r>
      <w:r>
        <w:rPr>
          <w:b/>
          <w:bCs/>
        </w:rPr>
        <w:t xml:space="preserve">, and collapsing the data without this check may obscure meaningful differences.</w:t>
      </w:r>
      <w:r>
        <w:t xml:space="preserve"> </w:t>
      </w:r>
      <w:r>
        <w:rPr>
          <w:b/>
          <w:bCs/>
        </w:rPr>
        <w:t xml:space="preserve">Finally, reliability analyses will be conducted on all resulting indices, with Cronbach’s alpha used to evaluate internal consistency across the three illusion types.</w:t>
      </w:r>
    </w:p>
    <w:p>
      <w:pPr>
        <w:pStyle w:val="BodyText"/>
      </w:pPr>
      <w:r>
        <w:rPr>
          <w:b/>
          <w:bCs/>
        </w:rPr>
        <w:t xml:space="preserve">Bayesian correlations are then computed between PCS and illusion sensitivity scores - with the resulting IES and error rate indices.</w:t>
      </w:r>
      <w:r>
        <w:t xml:space="preserve"> </w:t>
      </w:r>
      <w:r>
        <w:t xml:space="preserve">Following Lush et al. (2022), we expect to collect evidence against (BF10 &lt;= 1/3) a relationship between PCS and VI sensitivity.</w:t>
      </w:r>
      <w:r>
        <w:t xml:space="preserve"> </w:t>
      </w:r>
      <w:r>
        <w:rPr>
          <w:b/>
          <w:bCs/>
        </w:rPr>
        <w:t xml:space="preserve">Additionally, Bayesian correlations will be computed between maladaptive trait facets and illusion sensitivity scores.</w:t>
      </w:r>
      <w:r>
        <w:t xml:space="preserve"> </w:t>
      </w:r>
      <w:r>
        <w:rPr>
          <w:b/>
          <w:bCs/>
        </w:rPr>
        <w:t xml:space="preserve">Based on prior research</w:t>
      </w:r>
      <w:r>
        <w:rPr>
          <w:b/>
          <w:bCs/>
        </w:rPr>
        <w:t xml:space="preserve"> </w:t>
      </w:r>
      <w:r>
        <w:rPr>
          <w:b/>
          <w:bCs/>
        </w:rPr>
        <w:t xml:space="preserve">(Makowski et al., 2023)</w:t>
      </w:r>
      <w:r>
        <w:rPr>
          <w:b/>
          <w:bCs/>
        </w:rPr>
        <w:t xml:space="preserve">, we expect to find evidence (BF10 ≥ 3) supporting a relationship between the psychoticism facet of the PID-5 and illusion sensitivity.</w:t>
      </w:r>
    </w:p>
    <w:p>
      <w:pPr>
        <w:pStyle w:val="BodyText"/>
      </w:pPr>
      <w:r>
        <w:t xml:space="preserve">All Bayesian analyses will be conducted using the BayesFactor package</w:t>
      </w:r>
      <w:r>
        <w:t xml:space="preserve"> </w:t>
      </w:r>
      <w:r>
        <w:t xml:space="preserve">(Morey &amp; Rouder, 2024)</w:t>
      </w:r>
      <w:r>
        <w:t xml:space="preserve">.</w:t>
      </w:r>
      <w:r>
        <w:t xml:space="preserve"> </w:t>
      </w:r>
      <w:r>
        <w:rPr>
          <w:b/>
          <w:bCs/>
        </w:rPr>
        <w:t xml:space="preserve">For correlations, a medium shifted beta prior will be applied (r-scale parameter set to 1/3), as recommended by Morey and Rouder (2018), providing a balanced approach to estimating effect sizes, without placing undue weight on larger effect sizes or artificially inflating evidence for the null hypothesis.</w:t>
      </w:r>
      <w:r>
        <w:t xml:space="preserve"> </w:t>
      </w:r>
      <w:r>
        <w:rPr>
          <w:b/>
          <w:bCs/>
        </w:rPr>
        <w:t xml:space="preserve">For t-tests, the ttestBF function will be used with a medium Cauchy prior on the standardised effect size (r-scale = √2⁄2), corresponding to the default for independent samples.</w:t>
      </w:r>
    </w:p>
    <w:p>
      <w:pPr>
        <w:pStyle w:val="BodyText"/>
      </w:pPr>
      <w:r>
        <w:t xml:space="preserve">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w:t>
      </w:r>
      <w:r>
        <w:t xml:space="preserve"> </w:t>
      </w:r>
      <w:r>
        <w:t xml:space="preserve">The analysis script and additional information are available at</w:t>
      </w:r>
      <w:r>
        <w:t xml:space="preserve"> </w:t>
      </w:r>
      <w:r>
        <w:rPr>
          <w:b/>
          <w:bCs/>
        </w:rPr>
        <w:t xml:space="preserve">https://osf.io/da3u6/?view_only=247d4efa1afe456aa07662732946d4e6</w:t>
      </w:r>
      <w:r>
        <w:t xml:space="preserve"> </w:t>
      </w:r>
      <w:r>
        <w:t xml:space="preserve">[Note this link will be replaced with the GitHub page of the current project upon completion of the review process to ensure continued anonymisation].</w:t>
      </w:r>
    </w:p>
    <w:bookmarkEnd w:id="40"/>
    <w:bookmarkEnd w:id="41"/>
    <w:bookmarkStart w:id="42" w:name="results"/>
    <w:p>
      <w:pPr>
        <w:pStyle w:val="Heading1"/>
      </w:pPr>
      <w:r>
        <w:t xml:space="preserve">Results</w:t>
      </w:r>
    </w:p>
    <w:p>
      <w:pPr>
        <w:pStyle w:val="FirstParagraph"/>
      </w:pPr>
      <w:r>
        <w:rPr>
          <w:i/>
          <w:iCs/>
        </w:rPr>
        <w:t xml:space="preserve">This section will be completed after data is collected.</w:t>
      </w:r>
    </w:p>
    <w:bookmarkEnd w:id="42"/>
    <w:bookmarkStart w:id="43" w:name="discussion"/>
    <w:p>
      <w:pPr>
        <w:pStyle w:val="Heading1"/>
      </w:pPr>
      <w:r>
        <w:t xml:space="preserve">Discussion</w:t>
      </w:r>
    </w:p>
    <w:p>
      <w:pPr>
        <w:pStyle w:val="FirstParagraph"/>
      </w:pPr>
      <w:r>
        <w:rPr>
          <w:i/>
          <w:iCs/>
        </w:rPr>
        <w:t xml:space="preserve">This section will be completed after data is collected.</w:t>
      </w:r>
    </w:p>
    <w:bookmarkEnd w:id="43"/>
    <w:bookmarkStart w:id="44" w:name="data-availability"/>
    <w:p>
      <w:pPr>
        <w:pStyle w:val="Heading1"/>
      </w:pPr>
      <w:r>
        <w:t xml:space="preserve">Data Availability</w:t>
      </w:r>
    </w:p>
    <w:p>
      <w:pPr>
        <w:pStyle w:val="FirstParagraph"/>
      </w:pPr>
      <w:r>
        <w:t xml:space="preserve">All the study materials, experiment, data, and analysis is available on GitHub. [For the review process the pcs materials, the illusion game, and the analyses scripts can be accessed here:</w:t>
      </w:r>
      <w:r>
        <w:t xml:space="preserve"> </w:t>
      </w:r>
      <w:r>
        <w:rPr>
          <w:b/>
          <w:bCs/>
        </w:rPr>
        <w:t xml:space="preserve">https://osf.io/da3u6/?view_only=247d4efa1afe456aa07662732946d4e6</w:t>
      </w:r>
      <w:r>
        <w:t xml:space="preserve">. Note this link will be replaced with the GitHub page of the current project upon completion of the review process to ensure continued anonymisation].</w:t>
      </w:r>
    </w:p>
    <w:bookmarkEnd w:id="44"/>
    <w:bookmarkStart w:id="45"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5"/>
    <w:bookmarkStart w:id="104" w:name="references"/>
    <w:p>
      <w:pPr>
        <w:pStyle w:val="Heading1"/>
      </w:pPr>
      <w:r>
        <w:t xml:space="preserve">References</w:t>
      </w:r>
    </w:p>
    <w:bookmarkStart w:id="103" w:name="refs"/>
    <w:bookmarkStart w:id="46" w:name="ref-cohen2013statistical"/>
    <w:p>
      <w:pPr>
        <w:pStyle w:val="Bibliography"/>
      </w:pPr>
      <w:r>
        <w:t xml:space="preserve">Cohen, J. (2013).</w:t>
      </w:r>
      <w:r>
        <w:t xml:space="preserve"> </w:t>
      </w:r>
      <w:r>
        <w:rPr>
          <w:i/>
          <w:iCs/>
        </w:rPr>
        <w:t xml:space="preserve">Statistical power analysis for the behavioral sciences</w:t>
      </w:r>
      <w:r>
        <w:t xml:space="preserve">. routledge.</w:t>
      </w:r>
    </w:p>
    <w:bookmarkEnd w:id="46"/>
    <w:bookmarkStart w:id="48"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7">
        <w:r>
          <w:rPr>
            <w:rStyle w:val="Hyperlink"/>
          </w:rPr>
          <w:t xml:space="preserve">https://doi.org/10.1016/j.schres.2022.12.030</w:t>
        </w:r>
      </w:hyperlink>
    </w:p>
    <w:bookmarkEnd w:id="48"/>
    <w:bookmarkStart w:id="49" w:name="ref-cronbach1951coefficient"/>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(3), 297–334.</w:t>
      </w:r>
    </w:p>
    <w:bookmarkEnd w:id="49"/>
    <w:bookmarkStart w:id="50"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50"/>
    <w:bookmarkStart w:id="52"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51">
        <w:r>
          <w:rPr>
            <w:rStyle w:val="Hyperlink"/>
          </w:rPr>
          <w:t xml:space="preserve">https://doi.org/10.3758/s13428-023-02161-x</w:t>
        </w:r>
      </w:hyperlink>
    </w:p>
    <w:bookmarkEnd w:id="52"/>
    <w:bookmarkStart w:id="54"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53">
        <w:r>
          <w:rPr>
            <w:rStyle w:val="Hyperlink"/>
          </w:rPr>
          <w:t xml:space="preserve">https://doi.org/10.1037/cns0000230</w:t>
        </w:r>
      </w:hyperlink>
    </w:p>
    <w:bookmarkEnd w:id="54"/>
    <w:bookmarkStart w:id="56"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55">
        <w:r>
          <w:rPr>
            <w:rStyle w:val="Hyperlink"/>
          </w:rPr>
          <w:t xml:space="preserve">https://doi.org/10.1038/nrn2787</w:t>
        </w:r>
      </w:hyperlink>
    </w:p>
    <w:bookmarkEnd w:id="56"/>
    <w:bookmarkStart w:id="58"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7">
        <w:r>
          <w:rPr>
            <w:rStyle w:val="Hyperlink"/>
          </w:rPr>
          <w:t xml:space="preserve">https://doi.org/10.1162/neco_a_00226</w:t>
        </w:r>
      </w:hyperlink>
    </w:p>
    <w:bookmarkEnd w:id="58"/>
    <w:bookmarkStart w:id="60"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9">
        <w:r>
          <w:rPr>
            <w:rStyle w:val="Hyperlink"/>
          </w:rPr>
          <w:t xml:space="preserve">https://doi.org/10.3389/fnhum.2016.00175</w:t>
        </w:r>
      </w:hyperlink>
    </w:p>
    <w:bookmarkEnd w:id="60"/>
    <w:bookmarkStart w:id="62"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61">
        <w:r>
          <w:rPr>
            <w:rStyle w:val="Hyperlink"/>
          </w:rPr>
          <w:t xml:space="preserve">https://doi.org/10.1080/00223891.2011.577478</w:t>
        </w:r>
      </w:hyperlink>
    </w:p>
    <w:bookmarkEnd w:id="62"/>
    <w:bookmarkStart w:id="64"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63">
        <w:r>
          <w:rPr>
            <w:rStyle w:val="Hyperlink"/>
          </w:rPr>
          <w:t xml:space="preserve">https://doi.org/10.21105/joss.02445</w:t>
        </w:r>
      </w:hyperlink>
    </w:p>
    <w:bookmarkEnd w:id="64"/>
    <w:bookmarkStart w:id="6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65">
        <w:r>
          <w:rPr>
            <w:rStyle w:val="Hyperlink"/>
          </w:rPr>
          <w:t xml:space="preserve">https://easystats.github.io/easystats/</w:t>
        </w:r>
      </w:hyperlink>
    </w:p>
    <w:bookmarkEnd w:id="66"/>
    <w:bookmarkStart w:id="68"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7">
        <w:r>
          <w:rPr>
            <w:rStyle w:val="Hyperlink"/>
          </w:rPr>
          <w:t xml:space="preserve">https://doi.org/10.1093/nc/niy006</w:t>
        </w:r>
      </w:hyperlink>
    </w:p>
    <w:bookmarkEnd w:id="68"/>
    <w:bookmarkStart w:id="70"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9">
        <w:r>
          <w:rPr>
            <w:rStyle w:val="Hyperlink"/>
          </w:rPr>
          <w:t xml:space="preserve">https://doi.org/10.1525/collabra.29542</w:t>
        </w:r>
      </w:hyperlink>
    </w:p>
    <w:bookmarkEnd w:id="70"/>
    <w:bookmarkStart w:id="72"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71">
        <w:r>
          <w:rPr>
            <w:rStyle w:val="Hyperlink"/>
          </w:rPr>
          <w:t xml:space="preserve">http://dx.doi.org/10.31234/osf.io/hw4y9</w:t>
        </w:r>
      </w:hyperlink>
    </w:p>
    <w:bookmarkEnd w:id="72"/>
    <w:bookmarkStart w:id="74"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73">
        <w:r>
          <w:rPr>
            <w:rStyle w:val="Hyperlink"/>
          </w:rPr>
          <w:t xml:space="preserve">https://doi.org/10.21105/joss.01541</w:t>
        </w:r>
      </w:hyperlink>
    </w:p>
    <w:bookmarkEnd w:id="74"/>
    <w:bookmarkStart w:id="76"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75">
        <w:r>
          <w:rPr>
            <w:rStyle w:val="Hyperlink"/>
          </w:rPr>
          <w:t xml:space="preserve">https://doi.org/10.1177/03010066211057347</w:t>
        </w:r>
      </w:hyperlink>
    </w:p>
    <w:bookmarkEnd w:id="76"/>
    <w:bookmarkStart w:id="78"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7">
        <w:r>
          <w:rPr>
            <w:rStyle w:val="Hyperlink"/>
          </w:rPr>
          <w:t xml:space="preserve">https://doi.org/10.1038/s41598-023-33148-5</w:t>
        </w:r>
      </w:hyperlink>
    </w:p>
    <w:bookmarkEnd w:id="78"/>
    <w:bookmarkStart w:id="80"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9">
        <w:r>
          <w:rPr>
            <w:rStyle w:val="Hyperlink"/>
          </w:rPr>
          <w:t xml:space="preserve">https://CRAN.R-project.org/package=correlation</w:t>
        </w:r>
      </w:hyperlink>
    </w:p>
    <w:bookmarkEnd w:id="80"/>
    <w:bookmarkStart w:id="82"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81">
        <w:r>
          <w:rPr>
            <w:rStyle w:val="Hyperlink"/>
          </w:rPr>
          <w:t xml:space="preserve">https://doi.org/10.1002/aur.130</w:t>
        </w:r>
      </w:hyperlink>
    </w:p>
    <w:bookmarkEnd w:id="82"/>
    <w:bookmarkStart w:id="83" w:name="ref-morey2018baysefactor"/>
    <w:p>
      <w:pPr>
        <w:pStyle w:val="Bibliography"/>
      </w:pPr>
      <w:r>
        <w:t xml:space="preserve">Morey, R. D., &amp; Rouder, J. N. (2018).</w:t>
      </w:r>
      <w:r>
        <w:t xml:space="preserve"> </w:t>
      </w:r>
      <w:r>
        <w:rPr>
          <w:i/>
          <w:iCs/>
        </w:rPr>
        <w:t xml:space="preserve">BayseFactor: Computation of bayes factors for common designs</w:t>
      </w:r>
      <w:r>
        <w:t xml:space="preserve">.</w:t>
      </w:r>
    </w:p>
    <w:bookmarkEnd w:id="83"/>
    <w:bookmarkStart w:id="85"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84">
        <w:r>
          <w:rPr>
            <w:rStyle w:val="Hyperlink"/>
          </w:rPr>
          <w:t xml:space="preserve">https://CRAN.R-project.org/package=BayesFactor</w:t>
        </w:r>
      </w:hyperlink>
    </w:p>
    <w:bookmarkEnd w:id="85"/>
    <w:bookmarkStart w:id="87"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86">
        <w:r>
          <w:rPr>
            <w:rStyle w:val="Hyperlink"/>
          </w:rPr>
          <w:t xml:space="preserve">https://doi.org/10.3389/fnint.2014.00063</w:t>
        </w:r>
      </w:hyperlink>
    </w:p>
    <w:bookmarkEnd w:id="87"/>
    <w:bookmarkStart w:id="88" w:name="ref-nour2015perception"/>
    <w:p>
      <w:pPr>
        <w:pStyle w:val="Bibliography"/>
      </w:pPr>
      <w:r>
        <w:t xml:space="preserve">Nour, M. M., &amp; Nour, J. M. (2015). Perception, illusions and bayesian inference.</w:t>
      </w:r>
      <w:r>
        <w:t xml:space="preserve"> </w:t>
      </w:r>
      <w:r>
        <w:rPr>
          <w:i/>
          <w:iCs/>
        </w:rPr>
        <w:t xml:space="preserve">Psychopathology</w:t>
      </w:r>
      <w:r>
        <w:t xml:space="preserve">,</w:t>
      </w:r>
      <w:r>
        <w:t xml:space="preserve"> </w:t>
      </w:r>
      <w:r>
        <w:rPr>
          <w:i/>
          <w:iCs/>
        </w:rPr>
        <w:t xml:space="preserve">48</w:t>
      </w:r>
      <w:r>
        <w:t xml:space="preserve">(4), 217–221.</w:t>
      </w:r>
    </w:p>
    <w:bookmarkEnd w:id="88"/>
    <w:bookmarkStart w:id="90"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9">
        <w:r>
          <w:rPr>
            <w:rStyle w:val="Hyperlink"/>
          </w:rPr>
          <w:t xml:space="preserve">https://doi.org/10.1037/bul0000097</w:t>
        </w:r>
      </w:hyperlink>
    </w:p>
    <w:bookmarkEnd w:id="90"/>
    <w:bookmarkStart w:id="92"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91">
        <w:r>
          <w:rPr>
            <w:rStyle w:val="Hyperlink"/>
          </w:rPr>
          <w:t xml:space="preserve">https://doi.org/10.21105/joss.04684</w:t>
        </w:r>
      </w:hyperlink>
    </w:p>
    <w:bookmarkEnd w:id="92"/>
    <w:bookmarkStart w:id="94"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93">
        <w:r>
          <w:rPr>
            <w:rStyle w:val="Hyperlink"/>
          </w:rPr>
          <w:t xml:space="preserve">https://doi.org/10.1007/s11055-014-9978-2</w:t>
        </w:r>
      </w:hyperlink>
    </w:p>
    <w:bookmarkEnd w:id="94"/>
    <w:bookmarkStart w:id="95"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95"/>
    <w:bookmarkStart w:id="97"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96">
        <w:r>
          <w:rPr>
            <w:rStyle w:val="Hyperlink"/>
          </w:rPr>
          <w:t xml:space="preserve">https://doi.org/10.1167/8.5.12</w:t>
        </w:r>
      </w:hyperlink>
    </w:p>
    <w:bookmarkEnd w:id="97"/>
    <w:bookmarkStart w:id="99"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98">
        <w:r>
          <w:rPr>
            <w:rStyle w:val="Hyperlink"/>
          </w:rPr>
          <w:t xml:space="preserve">https://doi.org/10.1177/0301006620962279</w:t>
        </w:r>
      </w:hyperlink>
    </w:p>
    <w:bookmarkEnd w:id="99"/>
    <w:bookmarkStart w:id="100" w:name="ref-townsend2014methods"/>
    <w:p>
      <w:pPr>
        <w:pStyle w:val="Bibliography"/>
      </w:pPr>
      <w:r>
        <w:t xml:space="preserve">Townsend, J. T., &amp; Ashby, F. G. (2014). Methods of modeling capacity in simple processing systems. In</w:t>
      </w:r>
      <w:r>
        <w:t xml:space="preserve"> </w:t>
      </w:r>
      <w:r>
        <w:rPr>
          <w:i/>
          <w:iCs/>
        </w:rPr>
        <w:t xml:space="preserve">Cognitive theory</w:t>
      </w:r>
      <w:r>
        <w:t xml:space="preserve"> </w:t>
      </w:r>
      <w:r>
        <w:t xml:space="preserve">(pp. 199–239). Psychology Press.</w:t>
      </w:r>
    </w:p>
    <w:bookmarkEnd w:id="100"/>
    <w:bookmarkStart w:id="102"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101">
        <w:r>
          <w:rPr>
            <w:rStyle w:val="Hyperlink"/>
          </w:rPr>
          <w:t xml:space="preserve">https://doi.org/10.21105/joss.01686</w:t>
        </w:r>
      </w:hyperlink>
    </w:p>
    <w:bookmarkEnd w:id="102"/>
    <w:bookmarkEnd w:id="103"/>
    <w:sectPr>
      <w:lnNumType w:countBy="1" w:restart="continuous"/>
    </w:sectPr>
    <w:bookmarkEnd w:id="104"/>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4" Target="media/rId34.jpg" /><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98"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1"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65"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98"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1"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65"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2025-05-21T12:48:35Z</dcterms:created>
  <dcterms:modified xsi:type="dcterms:W3CDTF">2025-05-21T12:48:35Z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