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7E58" w14:textId="08F0C85A" w:rsidR="00AC6757" w:rsidRPr="00AC105B" w:rsidRDefault="00D1288C" w:rsidP="00AC675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C105B">
        <w:rPr>
          <w:rFonts w:ascii="Times New Roman" w:hAnsi="Times New Roman" w:cs="Times New Roman"/>
          <w:b/>
          <w:bCs/>
          <w:color w:val="auto"/>
          <w:sz w:val="24"/>
          <w:szCs w:val="24"/>
        </w:rPr>
        <w:t>Abstract</w:t>
      </w:r>
    </w:p>
    <w:p w14:paraId="56D0F905" w14:textId="1BA53E3D" w:rsidR="00D95E15" w:rsidRPr="001E4A6E" w:rsidRDefault="00D95E15" w:rsidP="00D95E15">
      <w:pPr>
        <w:pStyle w:val="FirstParagraph"/>
        <w:rPr>
          <w:rFonts w:asciiTheme="majorBidi" w:hAnsiTheme="majorBidi" w:cstheme="majorBidi"/>
        </w:rPr>
      </w:pPr>
      <w:r w:rsidRPr="005455BA">
        <w:rPr>
          <w:rFonts w:asciiTheme="majorBidi" w:hAnsiTheme="majorBidi" w:cstheme="majorBidi"/>
        </w:rPr>
        <w:t>Traditional interoceptive questionnaires show poor convergence, suggesting they tap distinct constructs. The Interoceptive Accuracy Scale (IAS), developed to separate accuracy from attention, is increasingly popular but psychometrically underexplored. Using a mega-analytic approach across 17 datasets (N &gt; 33,000), we present the most comprehensive evaluation of the IAS to date, covering its factor structure (Study 1) and dispositional correlates (Study 2). Study 1 triangulated results across multiple dimensionality-reduction algorithms, identifying a stable 14-item core organized into 7 distinct item pairs linked to bodily sensations (e.g., Hunger–Thirst</w:t>
      </w:r>
      <w:r w:rsidR="005678C2">
        <w:rPr>
          <w:rFonts w:asciiTheme="majorBidi" w:hAnsiTheme="majorBidi" w:cstheme="majorBidi"/>
        </w:rPr>
        <w:t>,</w:t>
      </w:r>
      <w:r w:rsidR="005678C2" w:rsidRPr="005678C2">
        <w:t xml:space="preserve"> </w:t>
      </w:r>
      <w:r w:rsidR="005678C2" w:rsidRPr="005678C2">
        <w:rPr>
          <w:rFonts w:asciiTheme="majorBidi" w:hAnsiTheme="majorBidi" w:cstheme="majorBidi"/>
        </w:rPr>
        <w:t>Cough–Sneeze</w:t>
      </w:r>
      <w:r w:rsidRPr="005455BA">
        <w:rPr>
          <w:rFonts w:asciiTheme="majorBidi" w:hAnsiTheme="majorBidi" w:cstheme="majorBidi"/>
        </w:rPr>
        <w:t>). Study 2 examined relationships between the IAS and mood, anxiety, psychopathology, neurodevelopmental traits, personality, and belief-related constructs, finding adaptive traits positively associated and maladaptive traits negatively associated with interoceptive scores. The 14-item version performed comparably to the original 21-item scale, with item-pairing enhancing interpretability; the Hungry-Thirsty and Bruise-Blood-sugar pairs showed the strongest associations. These findings support self-perceived interoceptive ability as a differentiated, system-specific construct.</w:t>
      </w:r>
    </w:p>
    <w:p w14:paraId="65836B24" w14:textId="77777777" w:rsidR="0080601F" w:rsidRPr="00AC105B" w:rsidRDefault="0080601F" w:rsidP="0080601F">
      <w:pPr>
        <w:pStyle w:val="FirstParagraph"/>
        <w:rPr>
          <w:rFonts w:ascii="Times New Roman" w:hAnsi="Times New Roman" w:cs="Times New Roman"/>
        </w:rPr>
      </w:pPr>
      <w:r w:rsidRPr="00AC105B">
        <w:rPr>
          <w:rFonts w:ascii="Times New Roman" w:hAnsi="Times New Roman" w:cs="Times New Roman"/>
        </w:rPr>
        <w:t>Interoception, interoceptive accuracy, interoceptive sensibility, measurement, exploratory factor analysis, network analysis</w:t>
      </w:r>
    </w:p>
    <w:p w14:paraId="67E7D6AB" w14:textId="77777777" w:rsidR="00D1288C" w:rsidRPr="00AC105B" w:rsidRDefault="00D1288C">
      <w:pPr>
        <w:rPr>
          <w:rFonts w:ascii="Times New Roman" w:hAnsi="Times New Roman" w:cs="Times New Roman"/>
          <w:lang w:val="en"/>
        </w:rPr>
      </w:pPr>
    </w:p>
    <w:sectPr w:rsidR="00D1288C" w:rsidRPr="00AC1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5F9D3" w14:textId="77777777" w:rsidR="00F1125E" w:rsidRDefault="00F1125E" w:rsidP="00AC6757">
      <w:pPr>
        <w:spacing w:after="0" w:line="240" w:lineRule="auto"/>
      </w:pPr>
      <w:r>
        <w:separator/>
      </w:r>
    </w:p>
  </w:endnote>
  <w:endnote w:type="continuationSeparator" w:id="0">
    <w:p w14:paraId="3A4AC43A" w14:textId="77777777" w:rsidR="00F1125E" w:rsidRDefault="00F1125E" w:rsidP="00AC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217C7" w14:textId="77777777" w:rsidR="00F1125E" w:rsidRDefault="00F1125E" w:rsidP="00AC6757">
      <w:pPr>
        <w:spacing w:after="0" w:line="240" w:lineRule="auto"/>
      </w:pPr>
      <w:r>
        <w:separator/>
      </w:r>
    </w:p>
  </w:footnote>
  <w:footnote w:type="continuationSeparator" w:id="0">
    <w:p w14:paraId="23E20415" w14:textId="77777777" w:rsidR="00F1125E" w:rsidRDefault="00F1125E" w:rsidP="00AC67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8C"/>
    <w:rsid w:val="00160E11"/>
    <w:rsid w:val="003C06CC"/>
    <w:rsid w:val="005678C2"/>
    <w:rsid w:val="007837C6"/>
    <w:rsid w:val="007B314C"/>
    <w:rsid w:val="007D302C"/>
    <w:rsid w:val="0080601F"/>
    <w:rsid w:val="00987E6B"/>
    <w:rsid w:val="00A34762"/>
    <w:rsid w:val="00AC105B"/>
    <w:rsid w:val="00AC6757"/>
    <w:rsid w:val="00D1288C"/>
    <w:rsid w:val="00D95E15"/>
    <w:rsid w:val="00F1125E"/>
    <w:rsid w:val="00F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01B96"/>
  <w15:chartTrackingRefBased/>
  <w15:docId w15:val="{8576DE1B-A6FB-4548-9085-CDDEB71D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8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1288C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1288C"/>
    <w:rPr>
      <w:rFonts w:eastAsiaTheme="minorHAnsi"/>
      <w:kern w:val="0"/>
      <w:lang w:val="en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1288C"/>
  </w:style>
  <w:style w:type="paragraph" w:styleId="Header">
    <w:name w:val="header"/>
    <w:basedOn w:val="Normal"/>
    <w:link w:val="HeaderChar"/>
    <w:uiPriority w:val="99"/>
    <w:unhideWhenUsed/>
    <w:rsid w:val="00AC6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757"/>
  </w:style>
  <w:style w:type="paragraph" w:styleId="Footer">
    <w:name w:val="footer"/>
    <w:basedOn w:val="Normal"/>
    <w:link w:val="FooterChar"/>
    <w:uiPriority w:val="99"/>
    <w:unhideWhenUsed/>
    <w:rsid w:val="00AC6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1187</Characters>
  <Application>Microsoft Office Word</Application>
  <DocSecurity>0</DocSecurity>
  <Lines>9</Lines>
  <Paragraphs>2</Paragraphs>
  <ScaleCrop>false</ScaleCrop>
  <Company>University of Sussex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6</cp:revision>
  <dcterms:created xsi:type="dcterms:W3CDTF">2026-03-27T12:13:00Z</dcterms:created>
  <dcterms:modified xsi:type="dcterms:W3CDTF">2026-06-23T09:36:00Z</dcterms:modified>
</cp:coreProperties>
</file>