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1085" w14:textId="77777777" w:rsidR="00AF6CB6" w:rsidRDefault="00C86744">
      <w:pPr>
        <w:pStyle w:val="FirstParagraph"/>
      </w:pPr>
      <w:r>
        <w:t xml:space="preserve"> </w:t>
      </w:r>
    </w:p>
    <w:p w14:paraId="2CD31086" w14:textId="77777777" w:rsidR="00AF6CB6" w:rsidRDefault="00C86744">
      <w:pPr>
        <w:pStyle w:val="BodyText"/>
      </w:pPr>
      <w:r>
        <w:t xml:space="preserve"> </w:t>
      </w:r>
    </w:p>
    <w:p w14:paraId="2CD31087" w14:textId="77777777" w:rsidR="00AF6CB6" w:rsidRDefault="00C86744">
      <w:pPr>
        <w:pStyle w:val="Heading1"/>
      </w:pPr>
      <w:bookmarkStart w:id="0" w:name="title"/>
      <w:r>
        <w:t>Meta-analysis of the Interoceptive Accuracy Scale (IAS) Structure and its Subjective Correlates</w:t>
      </w:r>
    </w:p>
    <w:p w14:paraId="2CD31088" w14:textId="77777777" w:rsidR="00AF6CB6" w:rsidRDefault="00C86744">
      <w:pPr>
        <w:pStyle w:val="Author"/>
      </w:pPr>
      <w:r>
        <w:t xml:space="preserve"> </w:t>
      </w:r>
    </w:p>
    <w:p w14:paraId="2CD31089" w14:textId="77777777" w:rsidR="00AF6CB6" w:rsidRDefault="00C86744">
      <w:pPr>
        <w:pStyle w:val="Author"/>
      </w:pPr>
      <w:r>
        <w:t>Magdalena Pfaff, Ana Neves, and Dominique Makowski</w:t>
      </w:r>
    </w:p>
    <w:p w14:paraId="2CD3108A" w14:textId="77777777" w:rsidR="00AF6CB6" w:rsidRDefault="00C86744">
      <w:pPr>
        <w:pStyle w:val="Author"/>
      </w:pPr>
      <w:r>
        <w:t>School of Psychology, University of Sussex</w:t>
      </w:r>
    </w:p>
    <w:p w14:paraId="2CD3108B" w14:textId="77777777" w:rsidR="00AF6CB6" w:rsidRDefault="00C86744">
      <w:pPr>
        <w:pStyle w:val="Heading1"/>
      </w:pPr>
      <w:bookmarkStart w:id="1" w:name="author-note"/>
      <w:bookmarkEnd w:id="0"/>
      <w:r>
        <w:t>Author Note</w:t>
      </w:r>
    </w:p>
    <w:p w14:paraId="2CD3108C" w14:textId="77777777" w:rsidR="00AF6CB6" w:rsidRDefault="00C86744">
      <w:pPr>
        <w:pStyle w:val="FirstParagraph"/>
      </w:pPr>
      <w:r>
        <w:rPr>
          <w:i/>
          <w:iCs/>
        </w:rPr>
        <w:t>Keywords</w:t>
      </w:r>
      <w:r>
        <w:t>:</w:t>
      </w:r>
    </w:p>
    <w:p w14:paraId="2CD3108D" w14:textId="77777777" w:rsidR="00AF6CB6" w:rsidRDefault="00C86744">
      <w:r>
        <w:br w:type="page"/>
      </w:r>
    </w:p>
    <w:p w14:paraId="2CD3108E" w14:textId="77777777" w:rsidR="00AF6CB6" w:rsidRDefault="00C86744">
      <w:pPr>
        <w:pStyle w:val="Heading1"/>
      </w:pPr>
      <w:bookmarkStart w:id="2" w:name="firstheader"/>
      <w:bookmarkEnd w:id="1"/>
      <w:r>
        <w:lastRenderedPageBreak/>
        <w:t>Meta-analysis of the Interoceptive Accuracy Scale (IAS) Structure and its Subjective Correlates</w:t>
      </w:r>
    </w:p>
    <w:p w14:paraId="2CD3108F" w14:textId="77777777" w:rsidR="00AF6CB6" w:rsidRDefault="00C86744">
      <w:pPr>
        <w:pStyle w:val="FirstParagraph"/>
      </w:pPr>
      <w:r>
        <w:t>Interoception is referred to the process of sensing, interpreting and integrating information pertaining to internal organs, such as the heart, the lungs or the gut (</w:t>
      </w:r>
      <w:hyperlink w:anchor="ref-khalsa2018">
        <w:r>
          <w:rPr>
            <w:rStyle w:val="Hyperlink"/>
          </w:rPr>
          <w:t>Khalsa et al., 2018</w:t>
        </w:r>
      </w:hyperlink>
      <w:r>
        <w:t>). While recent research emphasizes a key role of interoception in a variety of processes (e.g., emotion regulation, decision making) and of outcomes (physical and psychological well being), the field remains clouded by concerns pertaining to how interoception is assessed.</w:t>
      </w:r>
    </w:p>
    <w:p w14:paraId="2CD31090" w14:textId="77777777" w:rsidR="00AF6CB6" w:rsidRDefault="00C86744">
      <w:pPr>
        <w:pStyle w:val="BodyText"/>
      </w:pPr>
      <w:r>
        <w:t xml:space="preserve">Various measures of interoception have been developed (see </w:t>
      </w:r>
      <w:r>
        <w:rPr>
          <w:b/>
          <w:bCs/>
        </w:rPr>
        <w:t>figure 1</w:t>
      </w:r>
      <w:r>
        <w:t xml:space="preserve"> [</w:t>
      </w:r>
      <w:r>
        <w:rPr>
          <w:b/>
          <w:bCs/>
        </w:rPr>
        <w:t>TODO: add crossref</w:t>
      </w:r>
      <w:r>
        <w:t>]), forming a combination of “objective” and “subjective” assessments (i.e., physiological tasks such as the heart beat counting or tracking vs. questionnaires and subjective scales involving a metacognitive reflection), “explicit” and “implicit” paradigms (i.e., directing participants’ awareness and attention to interoceptive processes vs. measuring interoception unbeknownst to them), various interoceptive modalities (e.g., cardioception, respiroception, gastroception) and theor</w:t>
      </w:r>
      <w:r>
        <w:t>etical dimensions (e.g., sensitivity, awareness, accuracy). While there is no consensus as to which particular approach provides the most accurate and “pure” measure of interoception and interoceptive abilities (assuming it is a unidimensional construct), it is instead plausible that each measure has strengths and limitations, and a utility dependent on the context and goal at hand (</w:t>
      </w:r>
      <w:hyperlink w:anchor="ref-jahedi2014">
        <w:r>
          <w:rPr>
            <w:rStyle w:val="Hyperlink"/>
          </w:rPr>
          <w:t>Jahedi &amp; Méndez, 2014</w:t>
        </w:r>
      </w:hyperlink>
      <w:r>
        <w:t>).</w:t>
      </w:r>
    </w:p>
    <w:p w14:paraId="2CD31091" w14:textId="77777777" w:rsidR="00AF6CB6" w:rsidRDefault="00C86744">
      <w:pPr>
        <w:pStyle w:val="BodyText"/>
      </w:pPr>
      <w:r>
        <w:t xml:space="preserve">For instance, while the use of self-reports questionnaires might seem at odds with the concept of interoception (appearing at first as a deeply embodied - almost non-cognitive - sensory function), recent redefinitions of interoception, emphasizing the role of high-level and metacognitive elaboration of interoceptive information, has provided the theoretical grounding to support the idea that some facets of interoception (including participants’ metacognitive beliefs) </w:t>
      </w:r>
      <w:r>
        <w:lastRenderedPageBreak/>
        <w:t>can be assessed subjectively, providing useful and interesting measures (</w:t>
      </w:r>
      <w:hyperlink w:anchor="ref-murphy2019">
        <w:r>
          <w:rPr>
            <w:rStyle w:val="Hyperlink"/>
          </w:rPr>
          <w:t>Murphy et al., 2019</w:t>
        </w:r>
      </w:hyperlink>
      <w:r>
        <w:t>). However, understanding the exact nature of what is being measured with different questionnaires is crucial, as self-reports might not reflect the same processes as other measures, seemingly contributing to an apparent lack of convergence in the field.</w:t>
      </w:r>
    </w:p>
    <w:p w14:paraId="2CD31092" w14:textId="77777777" w:rsidR="00AF6CB6" w:rsidRDefault="00C86744">
      <w:pPr>
        <w:pStyle w:val="BodyText"/>
      </w:pPr>
      <w:r>
        <w:rPr>
          <w:b/>
          <w:bCs/>
        </w:rPr>
        <w:t>Figure 1</w:t>
      </w:r>
    </w:p>
    <w:p w14:paraId="2CD31093" w14:textId="77777777" w:rsidR="00AF6CB6" w:rsidRDefault="00C86744">
      <w:pPr>
        <w:pStyle w:val="BodyText"/>
      </w:pPr>
      <w:r>
        <w:t>Different ways in which interoception can be measured.</w:t>
      </w:r>
    </w:p>
    <w:p w14:paraId="2CD31094" w14:textId="77777777" w:rsidR="00AF6CB6" w:rsidRDefault="00C86744">
      <w:pPr>
        <w:pStyle w:val="BodyText"/>
      </w:pPr>
      <w:r>
        <w:rPr>
          <w:noProof/>
        </w:rPr>
        <w:drawing>
          <wp:inline distT="0" distB="0" distL="0" distR="0" wp14:anchorId="2CD31198" wp14:editId="2CD31199">
            <wp:extent cx="5943600" cy="3506724"/>
            <wp:effectExtent l="0" t="0" r="0" b="0"/>
            <wp:docPr id="23" name="Picture" descr="Figure 1. Different ways in which interoception can be measured."/>
            <wp:cNvGraphicFramePr/>
            <a:graphic xmlns:a="http://schemas.openxmlformats.org/drawingml/2006/main">
              <a:graphicData uri="http://schemas.openxmlformats.org/drawingml/2006/picture">
                <pic:pic xmlns:pic="http://schemas.openxmlformats.org/drawingml/2006/picture">
                  <pic:nvPicPr>
                    <pic:cNvPr id="24" name="Picture" descr="figures/measuring_interoception.png"/>
                    <pic:cNvPicPr>
                      <a:picLocks noChangeAspect="1" noChangeArrowheads="1"/>
                    </pic:cNvPicPr>
                  </pic:nvPicPr>
                  <pic:blipFill>
                    <a:blip r:embed="rId7"/>
                    <a:stretch>
                      <a:fillRect/>
                    </a:stretch>
                  </pic:blipFill>
                  <pic:spPr bwMode="auto">
                    <a:xfrm>
                      <a:off x="0" y="0"/>
                      <a:ext cx="5943600" cy="3506724"/>
                    </a:xfrm>
                    <a:prstGeom prst="rect">
                      <a:avLst/>
                    </a:prstGeom>
                    <a:noFill/>
                    <a:ln w="9525">
                      <a:noFill/>
                      <a:headEnd/>
                      <a:tailEnd/>
                    </a:ln>
                  </pic:spPr>
                </pic:pic>
              </a:graphicData>
            </a:graphic>
          </wp:inline>
        </w:drawing>
      </w:r>
      <w:r>
        <w:t xml:space="preserve"> </w:t>
      </w:r>
    </w:p>
    <w:p w14:paraId="2CD31095" w14:textId="77777777" w:rsidR="00AF6CB6" w:rsidRDefault="00C86744">
      <w:pPr>
        <w:pStyle w:val="BodyText"/>
      </w:pPr>
      <w:r>
        <w:t>A recently developed scale with a rapidly growing popularity is the Interoceptive Accuracy Scale [IAS; Murphy et al. (</w:t>
      </w:r>
      <w:hyperlink w:anchor="ref-murphy2019">
        <w:r>
          <w:rPr>
            <w:rStyle w:val="Hyperlink"/>
          </w:rPr>
          <w:t>2019</w:t>
        </w:r>
      </w:hyperlink>
      <w:r>
        <w:t>)]. The IAS consists of 21 Likert-scale items that query how accurately one can perceive different bodily signals, with one item per physiological mechanism such as respiration (</w:t>
      </w:r>
      <w:r>
        <w:rPr>
          <w:i/>
          <w:iCs/>
        </w:rPr>
        <w:t>“I can always accurately perceive when I am breathing fast”</w:t>
      </w:r>
      <w:r>
        <w:t xml:space="preserve">), heart (e.g </w:t>
      </w:r>
      <w:r>
        <w:rPr>
          <w:i/>
          <w:iCs/>
        </w:rPr>
        <w:t>“I can always accurately perceive when my heart is beating fast”</w:t>
      </w:r>
      <w:r>
        <w:t xml:space="preserve">), skin (e.g </w:t>
      </w:r>
      <w:r>
        <w:rPr>
          <w:i/>
          <w:iCs/>
        </w:rPr>
        <w:t>“I can always accurately perceive when something is going to be ticklish”</w:t>
      </w:r>
      <w:r>
        <w:t xml:space="preserve">), arousal or bodily functions like coughing (e.g </w:t>
      </w:r>
      <w:r>
        <w:rPr>
          <w:i/>
          <w:iCs/>
        </w:rPr>
        <w:t>“I can always accurately perceive when I am going to cough”</w:t>
      </w:r>
      <w:r>
        <w:t>),</w:t>
      </w:r>
      <w:r>
        <w:t xml:space="preserve"> urinating </w:t>
      </w:r>
      <w:r>
        <w:lastRenderedPageBreak/>
        <w:t>(e.g. </w:t>
      </w:r>
      <w:r>
        <w:rPr>
          <w:i/>
          <w:iCs/>
        </w:rPr>
        <w:t>“I can always accurately perceive when I need to urinate”</w:t>
      </w:r>
      <w:r>
        <w:t xml:space="preserve">). Interestingly, the IAS’ statements are about specific interoceptive behaviours, which is notable difference with other popular interoception questionnaires, such as the Multidimensional Assessment of Interoceptive Awareness scale (MAIA, </w:t>
      </w:r>
      <w:hyperlink w:anchor="ref-mehling2012">
        <w:r>
          <w:rPr>
            <w:rStyle w:val="Hyperlink"/>
          </w:rPr>
          <w:t>Mehling et al., 2012</w:t>
        </w:r>
      </w:hyperlink>
      <w:r>
        <w:t xml:space="preserve">), which items are more general and metacognitive (e.g., </w:t>
      </w:r>
      <w:r>
        <w:rPr>
          <w:b/>
          <w:bCs/>
          <w:i/>
          <w:iCs/>
        </w:rPr>
        <w:t>“I trust my body sensations”</w:t>
      </w:r>
      <w:r>
        <w:t xml:space="preserve">, </w:t>
      </w:r>
      <w:r>
        <w:rPr>
          <w:b/>
          <w:bCs/>
          <w:i/>
          <w:iCs/>
        </w:rPr>
        <w:t>“I can notice an unpleasant body sensation without worrying about it”</w:t>
      </w:r>
      <w:r>
        <w:t>).</w:t>
      </w:r>
    </w:p>
    <w:p w14:paraId="2CD31096" w14:textId="77777777" w:rsidR="00AF6CB6" w:rsidRDefault="00C86744">
      <w:pPr>
        <w:pStyle w:val="BodyText"/>
      </w:pPr>
      <w:r>
        <w:t>The original validation study suggested a two-factor solution structure, the authors however underline the need for further investigation of the scale’s factor structure, as it provided acceptable but imperfect explanation of the data [Murphy et al. (</w:t>
      </w:r>
      <w:hyperlink w:anchor="ref-murphy2019">
        <w:r>
          <w:rPr>
            <w:rStyle w:val="Hyperlink"/>
          </w:rPr>
          <w:t>2019</w:t>
        </w:r>
      </w:hyperlink>
      <w:r>
        <w:t>); p. 127]. Notably, the only other validation study to report a 2-factor solution was conducted by Koike and Nomura (</w:t>
      </w:r>
      <w:hyperlink w:anchor="ref-koike2023">
        <w:r>
          <w:rPr>
            <w:rStyle w:val="Hyperlink"/>
          </w:rPr>
          <w:t>2023</w:t>
        </w:r>
      </w:hyperlink>
      <w:r>
        <w:t>), who performed an exploratory factor analysis assuming 2 factors to align with the findings from the original validation paper. Other follow-up studies using confirmatory factor analysis (CFA) and exploratory structural modeling (</w:t>
      </w:r>
      <w:hyperlink w:anchor="ref-morin2016">
        <w:r>
          <w:rPr>
            <w:rStyle w:val="Hyperlink"/>
          </w:rPr>
          <w:t>Morin et al., 2015</w:t>
        </w:r>
      </w:hyperlink>
      <w:r>
        <w:t>) have identified different optimal solutions. Some studies, like Brand et al. (</w:t>
      </w:r>
      <w:hyperlink w:anchor="ref-brand2023">
        <w:r>
          <w:rPr>
            <w:rStyle w:val="Hyperlink"/>
          </w:rPr>
          <w:t>2023</w:t>
        </w:r>
      </w:hyperlink>
      <w:r>
        <w:t>), reported a 1-factor solution, while Lin et al. (</w:t>
      </w:r>
      <w:hyperlink w:anchor="ref-lin2023">
        <w:r>
          <w:rPr>
            <w:rStyle w:val="Hyperlink"/>
          </w:rPr>
          <w:t>2023</w:t>
        </w:r>
      </w:hyperlink>
      <w:r>
        <w:t>) and Campos et al. (</w:t>
      </w:r>
      <w:hyperlink w:anchor="ref-campos2021">
        <w:r>
          <w:rPr>
            <w:rStyle w:val="Hyperlink"/>
          </w:rPr>
          <w:t>2021</w:t>
        </w:r>
      </w:hyperlink>
      <w:r>
        <w:t>) found bifactor solutions to be the best fit. These studies included discussions on specific items. For instance, Murphy et al. (</w:t>
      </w:r>
      <w:hyperlink w:anchor="ref-murphy2019">
        <w:r>
          <w:rPr>
            <w:rStyle w:val="Hyperlink"/>
          </w:rPr>
          <w:t>2019</w:t>
        </w:r>
      </w:hyperlink>
      <w:r>
        <w:t>) notes that some items might measure direct interoceptive signals such as cardioception, while others, like “bruising,” might capture phenomena not perceivable through interoceptive signals alone (yes p.119). Lin et al. (</w:t>
      </w:r>
      <w:hyperlink w:anchor="ref-lin2023">
        <w:r>
          <w:rPr>
            <w:rStyle w:val="Hyperlink"/>
          </w:rPr>
          <w:t>2023</w:t>
        </w:r>
      </w:hyperlink>
      <w:r>
        <w:t>) also highlights their correlation analysis, showing five locally dependent pairs and three items with exceptionally high difficulty and low discrimination. Additionally, Campos et al. (</w:t>
      </w:r>
      <w:hyperlink w:anchor="ref-campos2021">
        <w:r>
          <w:rPr>
            <w:rStyle w:val="Hyperlink"/>
          </w:rPr>
          <w:t>2021</w:t>
        </w:r>
      </w:hyperlink>
      <w:r>
        <w:t>) suggests that the “tickle” item represents a more specific factor. Interestingly, Lin et al. (</w:t>
      </w:r>
      <w:hyperlink w:anchor="ref-lin2023">
        <w:r>
          <w:rPr>
            <w:rStyle w:val="Hyperlink"/>
          </w:rPr>
          <w:t>2023</w:t>
        </w:r>
      </w:hyperlink>
      <w:r>
        <w:t xml:space="preserve">) reported that all items of the IAS grouped together using a new approach, Exploratory </w:t>
      </w:r>
      <w:r>
        <w:lastRenderedPageBreak/>
        <w:t xml:space="preserve">Graph Analysis (EGA), to assess convergent and discriminant validity, which suggests unidimensionality. </w:t>
      </w:r>
    </w:p>
    <w:p w14:paraId="2CD31097" w14:textId="77777777" w:rsidR="00AF6CB6" w:rsidRDefault="00C86744">
      <w:pPr>
        <w:pStyle w:val="BodyText"/>
      </w:pPr>
      <w:r>
        <w:t>While the assessment of the validity of an interoception scale can be conceived as theoretically challenging, several traits have been used to assess convergent validity for the the IAS, including expected negative associations with alexithymia Murphy et al. (</w:t>
      </w:r>
      <w:hyperlink w:anchor="ref-murphy2019">
        <w:r>
          <w:rPr>
            <w:rStyle w:val="Hyperlink"/>
          </w:rPr>
          <w:t>2019</w:t>
        </w:r>
      </w:hyperlink>
      <w:r>
        <w:t>), somatic symptoms (</w:t>
      </w:r>
      <w:hyperlink w:anchor="ref-brand2023">
        <w:r>
          <w:rPr>
            <w:rStyle w:val="Hyperlink"/>
          </w:rPr>
          <w:t>Brand et al., 2023</w:t>
        </w:r>
      </w:hyperlink>
      <w:r>
        <w:t xml:space="preserve">; </w:t>
      </w:r>
      <w:hyperlink w:anchor="ref-koike2023">
        <w:r>
          <w:rPr>
            <w:rStyle w:val="Hyperlink"/>
          </w:rPr>
          <w:t>Koike &amp; Nomura, 2023</w:t>
        </w:r>
      </w:hyperlink>
      <w:r>
        <w:t>), depressive symptoms (</w:t>
      </w:r>
      <w:hyperlink w:anchor="ref-brand2023">
        <w:r>
          <w:rPr>
            <w:rStyle w:val="Hyperlink"/>
          </w:rPr>
          <w:t>Brand et al., 2023</w:t>
        </w:r>
      </w:hyperlink>
      <w:r>
        <w:t xml:space="preserve">; </w:t>
      </w:r>
      <w:hyperlink w:anchor="ref-koike2023">
        <w:r>
          <w:rPr>
            <w:rStyle w:val="Hyperlink"/>
          </w:rPr>
          <w:t>Koike &amp; Nomura, 2023</w:t>
        </w:r>
      </w:hyperlink>
      <w:r>
        <w:t>), anxiety (</w:t>
      </w:r>
      <w:hyperlink w:anchor="ref-brand2023">
        <w:r>
          <w:rPr>
            <w:rStyle w:val="Hyperlink"/>
          </w:rPr>
          <w:t>Brand et al., 2023</w:t>
        </w:r>
      </w:hyperlink>
      <w:r>
        <w:t>), neuroticism (</w:t>
      </w:r>
      <w:hyperlink w:anchor="ref-brand2023">
        <w:r>
          <w:rPr>
            <w:rStyle w:val="Hyperlink"/>
          </w:rPr>
          <w:t>Brand et al., 2023</w:t>
        </w:r>
      </w:hyperlink>
      <w:r>
        <w:t>).</w:t>
      </w:r>
      <w:r>
        <w:br/>
        <w:t xml:space="preserve"> The IAS has also been compared to other interoception scales (and interoceptive related scales), yielding a positive correlation with most facets of the MAIA, with the notable exception of </w:t>
      </w:r>
      <w:r>
        <w:rPr>
          <w:i/>
          <w:iCs/>
        </w:rPr>
        <w:t>Non distracting</w:t>
      </w:r>
      <w:r>
        <w:t xml:space="preserve"> and </w:t>
      </w:r>
      <w:r>
        <w:rPr>
          <w:i/>
          <w:iCs/>
        </w:rPr>
        <w:t>Not worrying</w:t>
      </w:r>
      <w:r>
        <w:t xml:space="preserve"> subscales (</w:t>
      </w:r>
      <w:hyperlink w:anchor="ref-brand2023">
        <w:r>
          <w:rPr>
            <w:rStyle w:val="Hyperlink"/>
          </w:rPr>
          <w:t>Brand et al., 2023</w:t>
        </w:r>
      </w:hyperlink>
      <w:r>
        <w:t>), the body awareness dimension of the Body Perception Questionnaire [BPQ-A; Brand et al. (</w:t>
      </w:r>
      <w:hyperlink w:anchor="ref-brand2023">
        <w:r>
          <w:rPr>
            <w:rStyle w:val="Hyperlink"/>
          </w:rPr>
          <w:t>2023</w:t>
        </w:r>
      </w:hyperlink>
      <w:r>
        <w:t>); Campos et al. (</w:t>
      </w:r>
      <w:hyperlink w:anchor="ref-campos2021">
        <w:r>
          <w:rPr>
            <w:rStyle w:val="Hyperlink"/>
          </w:rPr>
          <w:t>2021</w:t>
        </w:r>
      </w:hyperlink>
      <w:r>
        <w:t>); Koike and Nomura (</w:t>
      </w:r>
      <w:hyperlink w:anchor="ref-koike2023">
        <w:r>
          <w:rPr>
            <w:rStyle w:val="Hyperlink"/>
          </w:rPr>
          <w:t>2023</w:t>
        </w:r>
      </w:hyperlink>
      <w:r>
        <w:t>); Lin et al. (</w:t>
      </w:r>
      <w:hyperlink w:anchor="ref-lin2023">
        <w:r>
          <w:rPr>
            <w:rStyle w:val="Hyperlink"/>
          </w:rPr>
          <w:t>2023</w:t>
        </w:r>
      </w:hyperlink>
      <w:r>
        <w:t>)], the observation and description scales of the Five Facet Mindfulness Questionnaire Brand et al. (</w:t>
      </w:r>
      <w:hyperlink w:anchor="ref-brand2023">
        <w:r>
          <w:rPr>
            <w:rStyle w:val="Hyperlink"/>
          </w:rPr>
          <w:t>2023</w:t>
        </w:r>
      </w:hyperlink>
      <w:r>
        <w:t>), the interoceptive awareness subscale of the Eating Disorder Inventory (</w:t>
      </w:r>
      <w:hyperlink w:anchor="ref-lin2023">
        <w:r>
          <w:rPr>
            <w:rStyle w:val="Hyperlink"/>
          </w:rPr>
          <w:t>Lin et al., 2023</w:t>
        </w:r>
      </w:hyperlink>
      <w:r>
        <w:t>) and a negative correlation with interoceptive confusion questionnaire (</w:t>
      </w:r>
      <w:hyperlink w:anchor="ref-brand2023">
        <w:r>
          <w:rPr>
            <w:rStyle w:val="Hyperlink"/>
          </w:rPr>
          <w:t>Brand et al., 2023</w:t>
        </w:r>
      </w:hyperlink>
      <w:r>
        <w:t>), IATS (</w:t>
      </w:r>
      <w:hyperlink w:anchor="ref-lin2023">
        <w:r>
          <w:rPr>
            <w:rStyle w:val="Hyperlink"/>
          </w:rPr>
          <w:t>Lin et al., 2023</w:t>
        </w:r>
      </w:hyperlink>
      <w:r>
        <w:t xml:space="preserve">; </w:t>
      </w:r>
      <w:hyperlink w:anchor="ref-murphy2019">
        <w:r>
          <w:rPr>
            <w:rStyle w:val="Hyperlink"/>
          </w:rPr>
          <w:t>Murphy et al., 2019</w:t>
        </w:r>
      </w:hyperlink>
      <w:r>
        <w:t xml:space="preserve">). </w:t>
      </w:r>
    </w:p>
    <w:p w14:paraId="2CD31098" w14:textId="77777777" w:rsidR="00AF6CB6" w:rsidRDefault="00C86744">
      <w:pPr>
        <w:pStyle w:val="BodyText"/>
      </w:pPr>
      <w:r>
        <w:t>The current study aims at 1) clarifying the structure of the IAS with a meta-analytic approach that leverages existing data and contrasts the traditional CFA/SEM factor-based analyses with graph-based ones such as EGA. 2) The second part will provide an overview of the dispositional correlates of the IAS, sketching a pattern of associations that is key to better understand the nature, place and role of interoception questionnaires within a larger context.</w:t>
      </w:r>
    </w:p>
    <w:p w14:paraId="2CD31099" w14:textId="77777777" w:rsidR="00AF6CB6" w:rsidRDefault="00C86744">
      <w:pPr>
        <w:pStyle w:val="Heading2"/>
      </w:pPr>
      <w:bookmarkStart w:id="3" w:name="study-1"/>
      <w:r>
        <w:t>Study 1</w:t>
      </w:r>
    </w:p>
    <w:p w14:paraId="2CD3109A" w14:textId="77777777" w:rsidR="00AF6CB6" w:rsidRDefault="00C86744">
      <w:pPr>
        <w:pStyle w:val="FirstParagraph"/>
      </w:pPr>
      <w:r>
        <w:t>The goal of study 1 is to re-analyse and assess the factor structure of the IAS by taking advantage of the large number of open-access datasets (</w:t>
      </w:r>
      <w:hyperlink w:anchor="ref-arslanova2022">
        <w:r>
          <w:rPr>
            <w:rStyle w:val="Hyperlink"/>
          </w:rPr>
          <w:t>Arslanova et al., 2022</w:t>
        </w:r>
      </w:hyperlink>
      <w:r>
        <w:t xml:space="preserve">; </w:t>
      </w:r>
      <w:hyperlink w:anchor="ref-brand2022">
        <w:r>
          <w:rPr>
            <w:rStyle w:val="Hyperlink"/>
          </w:rPr>
          <w:t xml:space="preserve">Brand et al., </w:t>
        </w:r>
        <w:r>
          <w:rPr>
            <w:rStyle w:val="Hyperlink"/>
          </w:rPr>
          <w:lastRenderedPageBreak/>
          <w:t>2022</w:t>
        </w:r>
      </w:hyperlink>
      <w:r>
        <w:t xml:space="preserve">; </w:t>
      </w:r>
      <w:hyperlink w:anchor="ref-brand2023">
        <w:r>
          <w:rPr>
            <w:rStyle w:val="Hyperlink"/>
          </w:rPr>
          <w:t>Brand et al., 2023</w:t>
        </w:r>
      </w:hyperlink>
      <w:r>
        <w:t xml:space="preserve">; </w:t>
      </w:r>
      <w:hyperlink w:anchor="ref-campos2021">
        <w:r>
          <w:rPr>
            <w:rStyle w:val="Hyperlink"/>
          </w:rPr>
          <w:t>Campos et al., 2021</w:t>
        </w:r>
      </w:hyperlink>
      <w:r>
        <w:t xml:space="preserve">; </w:t>
      </w:r>
      <w:hyperlink w:anchor="ref-gaggero2021">
        <w:r>
          <w:rPr>
            <w:rStyle w:val="Hyperlink"/>
          </w:rPr>
          <w:t>Gaggero et al., 2021</w:t>
        </w:r>
      </w:hyperlink>
      <w:r>
        <w:t xml:space="preserve">; </w:t>
      </w:r>
      <w:hyperlink w:anchor="ref-lin2023">
        <w:r>
          <w:rPr>
            <w:rStyle w:val="Hyperlink"/>
          </w:rPr>
          <w:t>Lin et al., 2023</w:t>
        </w:r>
      </w:hyperlink>
      <w:r>
        <w:t xml:space="preserve">; </w:t>
      </w:r>
      <w:hyperlink w:anchor="ref-murphy2019">
        <w:r>
          <w:rPr>
            <w:rStyle w:val="Hyperlink"/>
          </w:rPr>
          <w:t>Murphy et al., 2019</w:t>
        </w:r>
      </w:hyperlink>
      <w:r>
        <w:t xml:space="preserve">; </w:t>
      </w:r>
      <w:hyperlink w:anchor="ref-todd2022">
        <w:r>
          <w:rPr>
            <w:rStyle w:val="Hyperlink"/>
          </w:rPr>
          <w:t>Todd et al., 2022</w:t>
        </w:r>
      </w:hyperlink>
      <w:r>
        <w:t xml:space="preserve">; </w:t>
      </w:r>
      <w:hyperlink w:anchor="ref-von2023">
        <w:r>
          <w:rPr>
            <w:rStyle w:val="Hyperlink"/>
          </w:rPr>
          <w:t>Von Mohr et al., 2023</w:t>
        </w:r>
      </w:hyperlink>
      <w:r>
        <w:t>). While combining these studies might provide a more robust and generalizable understanding of the IAS’ factor structure, it is important to note that the studies differ in their sample sizes, demographics, language, and the way they collected the data. Thus, providing additionally a individual analysis (i.e., on all samples individually) will help adding nuance to the general picture.</w:t>
      </w:r>
    </w:p>
    <w:p w14:paraId="2CD3109B" w14:textId="77777777" w:rsidR="00AF6CB6" w:rsidRDefault="00C86744">
      <w:pPr>
        <w:pStyle w:val="Heading3"/>
      </w:pPr>
      <w:bookmarkStart w:id="4" w:name="method"/>
      <w:r>
        <w:t>Method</w:t>
      </w:r>
    </w:p>
    <w:p w14:paraId="2CD3109C" w14:textId="77777777" w:rsidR="00AF6CB6" w:rsidRDefault="00C86744">
      <w:pPr>
        <w:pStyle w:val="Heading4"/>
        <w:rPr>
          <w:vanish/>
          <w:specVanish/>
        </w:rPr>
      </w:pPr>
      <w:r>
        <w:t xml:space="preserve">Datasets. </w:t>
      </w:r>
    </w:p>
    <w:p w14:paraId="2CD3109D" w14:textId="77777777" w:rsidR="00AF6CB6" w:rsidRDefault="00C86744">
      <w:pPr>
        <w:pStyle w:val="FirstParagraph"/>
      </w:pPr>
      <w:r>
        <w:t>Our search focused on studies citing the original IAS validation paper (</w:t>
      </w:r>
      <w:hyperlink w:anchor="ref-murphy2019">
        <w:r>
          <w:rPr>
            <w:rStyle w:val="Hyperlink"/>
          </w:rPr>
          <w:t>Murphy et al., 2019</w:t>
        </w:r>
      </w:hyperlink>
      <w:r>
        <w:t xml:space="preserve">), identifying 136 papers (as of </w:t>
      </w:r>
      <w:r>
        <w:rPr>
          <w:b/>
          <w:bCs/>
        </w:rPr>
        <w:t>XX/XX/2024</w:t>
      </w:r>
      <w:r>
        <w:t xml:space="preserve">). To qualify for inclusion, papers needed to (1) provide accessible data in open-access, (2) employ the IAS as a measure, and (3) report individual IAS items scores. A total of 9 studies was included. Additionally, we added datasets of two unpublished (but already open-access) studies from our lab. </w:t>
      </w:r>
      <w:r>
        <w:rPr>
          <w:b/>
          <w:bCs/>
        </w:rPr>
        <w:t>See Table 1 (add crossref link)</w:t>
      </w:r>
      <w:r>
        <w:t xml:space="preserve"> for a summary of the samples demographics.</w:t>
      </w:r>
    </w:p>
    <w:p w14:paraId="2CD3109E" w14:textId="77777777" w:rsidR="00AF6CB6" w:rsidRDefault="00C86744">
      <w:pPr>
        <w:pStyle w:val="BodyText"/>
      </w:pPr>
      <w:r>
        <w:rPr>
          <w:b/>
          <w:bCs/>
        </w:rPr>
        <w:t>Table 1</w:t>
      </w:r>
    </w:p>
    <w:p w14:paraId="2CD3109F" w14:textId="77777777" w:rsidR="00AF6CB6" w:rsidRDefault="00C86744">
      <w:pPr>
        <w:pStyle w:val="BodyText"/>
      </w:pPr>
      <w:r>
        <w:lastRenderedPageBreak/>
        <w:t xml:space="preserve">Samples demographics. </w:t>
      </w:r>
      <w:r>
        <w:rPr>
          <w:noProof/>
        </w:rPr>
        <w:drawing>
          <wp:inline distT="0" distB="0" distL="0" distR="0" wp14:anchorId="2CD3119A" wp14:editId="2CD3119B">
            <wp:extent cx="5524500" cy="4839708"/>
            <wp:effectExtent l="0" t="0" r="0" b="0"/>
            <wp:docPr id="26" name="Picture" descr="Figure 1. Different ways in which interoception can be measured."/>
            <wp:cNvGraphicFramePr/>
            <a:graphic xmlns:a="http://schemas.openxmlformats.org/drawingml/2006/main">
              <a:graphicData uri="http://schemas.openxmlformats.org/drawingml/2006/picture">
                <pic:pic xmlns:pic="http://schemas.openxmlformats.org/drawingml/2006/picture">
                  <pic:nvPicPr>
                    <pic:cNvPr id="27" name="Picture" descr="figures/table1.png"/>
                    <pic:cNvPicPr>
                      <a:picLocks noChangeAspect="1" noChangeArrowheads="1"/>
                    </pic:cNvPicPr>
                  </pic:nvPicPr>
                  <pic:blipFill>
                    <a:blip r:embed="rId8"/>
                    <a:stretch>
                      <a:fillRect/>
                    </a:stretch>
                  </pic:blipFill>
                  <pic:spPr bwMode="auto">
                    <a:xfrm>
                      <a:off x="0" y="0"/>
                      <a:ext cx="5524500" cy="4839708"/>
                    </a:xfrm>
                    <a:prstGeom prst="rect">
                      <a:avLst/>
                    </a:prstGeom>
                    <a:noFill/>
                    <a:ln w="9525">
                      <a:noFill/>
                      <a:headEnd/>
                      <a:tailEnd/>
                    </a:ln>
                  </pic:spPr>
                </pic:pic>
              </a:graphicData>
            </a:graphic>
          </wp:inline>
        </w:drawing>
      </w:r>
    </w:p>
    <w:p w14:paraId="2CD310A0" w14:textId="77777777" w:rsidR="00AF6CB6" w:rsidRDefault="00C86744">
      <w:pPr>
        <w:pStyle w:val="BodyText"/>
      </w:pPr>
      <w:r>
        <w:rPr>
          <w:b/>
          <w:bCs/>
        </w:rPr>
        <w:t>Note</w:t>
      </w:r>
      <w:r>
        <w:t xml:space="preserve">. * Numbers were sourced from the original paper rather than independently calculated. ** Data for Makowski et al., 2023a: </w:t>
      </w:r>
      <w:hyperlink r:id="rId9">
        <w:r>
          <w:rPr>
            <w:rStyle w:val="Hyperlink"/>
          </w:rPr>
          <w:t>https://raw.githubusercontent.com/RealityBending/IllusionGameReliability/main/data/preprocessed_questionnaires.csv</w:t>
        </w:r>
      </w:hyperlink>
      <w:r>
        <w:t xml:space="preserve"> and Makowski et al., 2013b: </w:t>
      </w:r>
      <w:hyperlink r:id="rId10">
        <w:r>
          <w:rPr>
            <w:rStyle w:val="Hyperlink"/>
          </w:rPr>
          <w:t>https://raw.githubusercontent.com/DominiqueMakowski/PHQ4R/main/study2/data/data.csv</w:t>
        </w:r>
      </w:hyperlink>
    </w:p>
    <w:p w14:paraId="2CD310A1" w14:textId="77777777" w:rsidR="00AF6CB6" w:rsidRDefault="00C86744">
      <w:pPr>
        <w:pStyle w:val="BodyText"/>
      </w:pPr>
      <w:r>
        <w:rPr>
          <w:b/>
          <w:bCs/>
        </w:rPr>
        <w:t xml:space="preserve">TODO: add language also, as well as maybe something like “difference” </w:t>
      </w:r>
      <w:r>
        <w:rPr>
          <w:b/>
          <w:bCs/>
        </w:rPr>
        <w:t>from the original validation (which could actually be language, and for our the type of scale / less items)</w:t>
      </w:r>
      <w:r>
        <w:t xml:space="preserve"> </w:t>
      </w:r>
    </w:p>
    <w:p w14:paraId="2CD310A2" w14:textId="77777777" w:rsidR="00AF6CB6" w:rsidRDefault="00C86744">
      <w:pPr>
        <w:pStyle w:val="BodyText"/>
      </w:pPr>
      <w:r>
        <w:lastRenderedPageBreak/>
        <w:t>The analysed sample contains 31,317 participants, of which 71.5% are females.</w:t>
      </w:r>
    </w:p>
    <w:p w14:paraId="2CD310A3" w14:textId="77777777" w:rsidR="00AF6CB6" w:rsidRDefault="00C86744">
      <w:pPr>
        <w:pStyle w:val="Heading2"/>
      </w:pPr>
      <w:bookmarkStart w:id="5" w:name="statistical-analysis"/>
      <w:bookmarkEnd w:id="4"/>
      <w:bookmarkEnd w:id="3"/>
      <w:r>
        <w:t>Statistical Analysis</w:t>
      </w:r>
    </w:p>
    <w:p w14:paraId="2CD310A4" w14:textId="77777777" w:rsidR="00AF6CB6" w:rsidRDefault="00C86744">
      <w:pPr>
        <w:pStyle w:val="FirstParagraph"/>
      </w:pPr>
      <w:r>
        <w:t>To examine the factor structure of the IAS, a two-step approach was employed. First, Exploratory Graph Analysis (EGA), was used to estimate the dimensions via network estimation and community detection, alongside assessing the stability of dimensions and items using the bootstrapping techniques. The selection of EGA was motivated by its capability to handle complex, multidimensional data and provide robust dimension estimates. Subsequently, exploratory factor analysis (EFA) was employed followed by confirma</w:t>
      </w:r>
      <w:r>
        <w:t>tory factor analysis (CFA).</w:t>
      </w:r>
    </w:p>
    <w:p w14:paraId="2CD310A5" w14:textId="77777777" w:rsidR="00AF6CB6" w:rsidRDefault="00C86744">
      <w:pPr>
        <w:pStyle w:val="Heading1"/>
      </w:pPr>
      <w:bookmarkStart w:id="6" w:name="results"/>
      <w:bookmarkEnd w:id="5"/>
      <w:bookmarkEnd w:id="2"/>
      <w:r>
        <w:t>Results</w:t>
      </w:r>
    </w:p>
    <w:p w14:paraId="2CD310A6" w14:textId="77777777" w:rsidR="00AF6CB6" w:rsidRDefault="00C86744">
      <w:pPr>
        <w:pStyle w:val="FirstParagraph"/>
      </w:pPr>
      <w:r>
        <w:t xml:space="preserve">Visualizing the distribution of the items for all samples suggests the presence of a consistent modal value (Fig. X). In other words,  participants are most likely to answer 4/5 (i.e., agree) on most items (but “affective touch”, “blood sugar”, and “bruise” that exhibit a different distributional pattern). Additionally, one can note the low density on extreme values (1 and 5), meaning that the bulk of answers </w:t>
      </w:r>
      <w:r>
        <w:rPr>
          <w:b/>
          <w:bCs/>
        </w:rPr>
        <w:t>(87% TODO: get the actual statistic: what’s the proportion of non 1&amp;5 answers for the likert scale samples)</w:t>
      </w:r>
      <w:r>
        <w:t xml:space="preserve"> varies between 3 values. The interindividual variability seems improved in the samples using an analogue scale, displaying a more continuous and progressive spread of answers.</w:t>
      </w:r>
    </w:p>
    <w:p w14:paraId="2CD310A7" w14:textId="77777777" w:rsidR="00AF6CB6" w:rsidRDefault="00C86744">
      <w:pPr>
        <w:pStyle w:val="CaptionedFigure"/>
      </w:pPr>
      <w:r>
        <w:rPr>
          <w:noProof/>
        </w:rPr>
        <w:lastRenderedPageBreak/>
        <w:drawing>
          <wp:inline distT="0" distB="0" distL="0" distR="0" wp14:anchorId="2CD3119C" wp14:editId="2CD3119D">
            <wp:extent cx="5943600" cy="2500859"/>
            <wp:effectExtent l="0" t="0" r="0" b="0"/>
            <wp:docPr id="35" name="Picture" descr="Figure 1. Distribution of responses for all items across all datasets."/>
            <wp:cNvGraphicFramePr/>
            <a:graphic xmlns:a="http://schemas.openxmlformats.org/drawingml/2006/main">
              <a:graphicData uri="http://schemas.openxmlformats.org/drawingml/2006/picture">
                <pic:pic xmlns:pic="http://schemas.openxmlformats.org/drawingml/2006/picture">
                  <pic:nvPicPr>
                    <pic:cNvPr id="36" name="Picture" descr="figures/clipboard-1080495164.png"/>
                    <pic:cNvPicPr>
                      <a:picLocks noChangeAspect="1" noChangeArrowheads="1"/>
                    </pic:cNvPicPr>
                  </pic:nvPicPr>
                  <pic:blipFill>
                    <a:blip r:embed="rId11"/>
                    <a:stretch>
                      <a:fillRect/>
                    </a:stretch>
                  </pic:blipFill>
                  <pic:spPr bwMode="auto">
                    <a:xfrm>
                      <a:off x="0" y="0"/>
                      <a:ext cx="5943600" cy="2500859"/>
                    </a:xfrm>
                    <a:prstGeom prst="rect">
                      <a:avLst/>
                    </a:prstGeom>
                    <a:noFill/>
                    <a:ln w="9525">
                      <a:noFill/>
                      <a:headEnd/>
                      <a:tailEnd/>
                    </a:ln>
                  </pic:spPr>
                </pic:pic>
              </a:graphicData>
            </a:graphic>
          </wp:inline>
        </w:drawing>
      </w:r>
    </w:p>
    <w:p w14:paraId="2CD310A8" w14:textId="77777777" w:rsidR="00AF6CB6" w:rsidRDefault="00C86744">
      <w:pPr>
        <w:pStyle w:val="ImageCaption"/>
      </w:pPr>
      <w:r>
        <w:rPr>
          <w:b/>
          <w:bCs/>
        </w:rPr>
        <w:t>Figure 1.</w:t>
      </w:r>
      <w:r>
        <w:t xml:space="preserve"> Distribution of responses for all items across all datasets.</w:t>
      </w:r>
    </w:p>
    <w:p w14:paraId="2CD310A9" w14:textId="77777777" w:rsidR="00AF6CB6" w:rsidRDefault="00C86744">
      <w:pPr>
        <w:pStyle w:val="Heading3"/>
      </w:pPr>
      <w:bookmarkStart w:id="7" w:name="correlations"/>
      <w:r>
        <w:t>Correlations</w:t>
      </w:r>
    </w:p>
    <w:p w14:paraId="2CD310AA" w14:textId="77777777" w:rsidR="00AF6CB6" w:rsidRDefault="00C86744">
      <w:pPr>
        <w:pStyle w:val="FirstParagraph"/>
      </w:pPr>
      <w:r>
        <w:t>The correlation analysis revealed that the items overall have positive intercorrelation patterns with no clear structure emerging. This remains the same across all samples. However, there are possibly some higher-order groupings emerging for the 2 analog-scale samples.</w:t>
      </w:r>
    </w:p>
    <w:p w14:paraId="2CD310AB" w14:textId="77777777" w:rsidR="00AF6CB6" w:rsidRDefault="00C86744">
      <w:pPr>
        <w:pStyle w:val="Heading3"/>
      </w:pPr>
      <w:bookmarkStart w:id="8" w:name="ega"/>
      <w:bookmarkEnd w:id="7"/>
      <w:r>
        <w:t>EGA</w:t>
      </w:r>
    </w:p>
    <w:p w14:paraId="2CD310AC" w14:textId="77777777" w:rsidR="00AF6CB6" w:rsidRDefault="00C86744">
      <w:pPr>
        <w:pStyle w:val="FirstParagraph"/>
      </w:pPr>
      <w:r>
        <w:t xml:space="preserve">The unique variable analysis revealed that there are two redundant variables when taking all samples into account. Namely, “itch” and “tickle”, where “tickle” should be removed, and “itch” should remain in the questionnaire. There are several more items that are moderately to largely redundant, namely, “wind” and “burp”, and “urinate” and “defecate”. On top of that, “sneeze” and “cough”, “heart” and “breathing”, and “hungry” and “thirsty” seem to have small to moderate redundancy. These findings are rather </w:t>
      </w:r>
      <w:r>
        <w:t>consistent across the samples with minor differences, such as that when the questionnaire had an analog scale, there seems to be no redundant items. </w:t>
      </w:r>
    </w:p>
    <w:p w14:paraId="2CD310AD" w14:textId="77777777" w:rsidR="00AF6CB6" w:rsidRDefault="00C86744">
      <w:pPr>
        <w:pStyle w:val="BodyText"/>
      </w:pPr>
      <w:r>
        <w:t xml:space="preserve">According to the network analysis, a 4-factor structure fits the questionnaire best across all data sets. This is rather consistent within the data sets, where some samples indicate 3-factor </w:t>
      </w:r>
      <w:r>
        <w:lastRenderedPageBreak/>
        <w:t>structure, and some a 5-factor structure would fit well too. The 4-factor structure model with the best fit entails the following items per group: 1) itch, tickle, bruise, blood sugar; 2) burp, wind, cough, sneeze, vomit; 3) affective touch, sexual arousal, muscles, temperature, pain, and taste; 4) Heart, breathing, hungry, thirsty, urinate, and defecate.</w:t>
      </w:r>
    </w:p>
    <w:p w14:paraId="2CD310AE" w14:textId="77777777" w:rsidR="00AF6CB6" w:rsidRDefault="00C86744">
      <w:pPr>
        <w:pStyle w:val="BodyText"/>
      </w:pPr>
      <w:r>
        <w:t>Stability analysis, employing 500 bootstrap iterations, also favoured the 4-factor solution for its greater stability. Most items, except for ‘affective touch,’ demonstrated stability levels exceeding 0.70, indicating structural consistency and reliability (</w:t>
      </w:r>
      <w:hyperlink w:anchor="ref-christensen2021">
        <w:r>
          <w:rPr>
            <w:rStyle w:val="Hyperlink"/>
          </w:rPr>
          <w:t>Christensen &amp; Golino, 2021</w:t>
        </w:r>
      </w:hyperlink>
      <w:r>
        <w:t>). These findings underscore the robustness of the identified 4-dimensional structure.</w:t>
      </w:r>
    </w:p>
    <w:p w14:paraId="2CD310AF" w14:textId="77777777" w:rsidR="00AF6CB6" w:rsidRDefault="00C86744">
      <w:pPr>
        <w:pStyle w:val="BodyText"/>
      </w:pPr>
      <w:r>
        <w:t>When accounting for all samples, the factor analysis reveals that a 4-factor structure fits best. The exploratory factor analysis revealed that 4 latent factors (oblimin rotation) accounted for 41.67% of 5the total variance of the original data (MR1 = 14.64%, MR3 = 11.59%, MR4 = 7.30%). Confirmatory factor analysis showed that the time “tickle” can be discarded, as it was flagged as redundant in the samples consistently. Some of the factors were ambiguous, namely, temperature, vomit, effective touch, sexual</w:t>
      </w:r>
      <w:r>
        <w:t xml:space="preserve"> arousal, as well as taste. There was no evidence for higher order factors.</w:t>
      </w:r>
    </w:p>
    <w:p w14:paraId="2CD310B0" w14:textId="77777777" w:rsidR="00AF6CB6" w:rsidRDefault="00C86744">
      <w:pPr>
        <w:pStyle w:val="Heading1"/>
      </w:pPr>
      <w:bookmarkStart w:id="9" w:name="discussion"/>
      <w:bookmarkEnd w:id="8"/>
      <w:bookmarkEnd w:id="6"/>
      <w:r>
        <w:t>Discussion</w:t>
      </w:r>
    </w:p>
    <w:p w14:paraId="2CD310B1" w14:textId="77777777" w:rsidR="00AF6CB6" w:rsidRDefault="00C86744">
      <w:pPr>
        <w:pStyle w:val="FirstParagraph"/>
      </w:pPr>
      <w:r>
        <w:t>In this study, several datasets were analyzed for a meta analysis of the structure of the IAS. The findings reveal that a 4-factor model fits the IAS best. Additionally, the lowest level structure (pairs of items) seem to be the most robust, especially for samples using Likert scales (some higher-order groupings might emerge for the 2 analog-scale samples). There was no clear evidence for higher-order factors. </w:t>
      </w:r>
    </w:p>
    <w:p w14:paraId="2CD310B2" w14:textId="77777777" w:rsidR="00AF6CB6" w:rsidRDefault="00C86744">
      <w:pPr>
        <w:pStyle w:val="BodyText"/>
      </w:pPr>
      <w:r>
        <w:t>These findings contrast with previous research, which all found that a 2-factor model, or a 1-factor model fits the data best Brand et al. (</w:t>
      </w:r>
      <w:hyperlink w:anchor="ref-brand2023">
        <w:r>
          <w:rPr>
            <w:rStyle w:val="Hyperlink"/>
          </w:rPr>
          <w:t>2023</w:t>
        </w:r>
      </w:hyperlink>
      <w:r>
        <w:t xml:space="preserve">). While this analysis also revealed an okay </w:t>
      </w:r>
      <w:r>
        <w:lastRenderedPageBreak/>
        <w:t>fit for the 1-factor model, the 4-factor model revealed the best fit. The 4-factor structure reveals different ‘hubs’ of items that are related, not only in this structure analysis, but also in underlying mechanisms. The ‘wind-burp-cough-sneeze-vomit’ category, for example, only entails items that are linked to excretion through the mouth. The other categories are organized similarly. This organization  and structure is useful for further analysis, as the data ca</w:t>
      </w:r>
      <w:r>
        <w:t>n be analyzed and interpreted according to a grouping that is coherent in result, as well as underlying mechanisms. </w:t>
      </w:r>
    </w:p>
    <w:p w14:paraId="2CD310B3" w14:textId="77777777" w:rsidR="00AF6CB6" w:rsidRDefault="00C86744">
      <w:pPr>
        <w:pStyle w:val="BodyText"/>
      </w:pPr>
      <w:r>
        <w:t>There are several items that show redundancy suggesting that adapting the IAS would be beneficial for validity. Based on the given results, we suggest removing the tickle, while keeping the itch item (stats). Other items with slight redundancy were Hungry and Thirsty, Urinate and Defecate, and Sneeze and Cough.</w:t>
      </w:r>
    </w:p>
    <w:p w14:paraId="2CD310B4" w14:textId="77777777" w:rsidR="00AF6CB6" w:rsidRDefault="00C86744">
      <w:pPr>
        <w:pStyle w:val="BodyText"/>
      </w:pPr>
      <w:r>
        <w:t>Interestingly, Lin et al. (</w:t>
      </w:r>
      <w:hyperlink w:anchor="ref-lin2023">
        <w:r>
          <w:rPr>
            <w:rStyle w:val="Hyperlink"/>
          </w:rPr>
          <w:t>2023</w:t>
        </w:r>
      </w:hyperlink>
      <w:r>
        <w:t>) also found that tickle and itch were redundant, excluding one of them but the reason being that the character for both words is the same in the Chinese language. On top of that, they came up with a shortened version of the IAS, excluding further items, resulting in a 12-item IAS, which aligns with our findings, suggesting that further items are ambiguous as to whether they should be removed.  In contrast, other findings also found itch and tickle to be redundant but did not suggest excluding items .</w:t>
      </w:r>
    </w:p>
    <w:p w14:paraId="2CD310B5" w14:textId="77777777" w:rsidR="00AF6CB6" w:rsidRDefault="00C86744">
      <w:pPr>
        <w:pStyle w:val="BodyText"/>
      </w:pPr>
      <w:r>
        <w:t>The findings indicate a high proportion of answers at 4 (see Figure 1), especially when using a 5-step scale. The analogue scale shows a more dispersed distribution, with some answers indicating the highest 5/5, which was not the case in the 5-step scale. Therefore, we recommend using an analog scale for the IAS.</w:t>
      </w:r>
    </w:p>
    <w:p w14:paraId="2CD310B6" w14:textId="77777777" w:rsidR="00AF6CB6" w:rsidRDefault="00C86744">
      <w:pPr>
        <w:pStyle w:val="BodyText"/>
      </w:pPr>
      <w:r>
        <w:t>Before this paper, the IAS has not yet been used or analyzed with an analog scale, rather than a five step scale. Therefore, this study provides a novel approach to improving the IAS in a simple manner.</w:t>
      </w:r>
    </w:p>
    <w:p w14:paraId="2CD310B7" w14:textId="77777777" w:rsidR="00AF6CB6" w:rsidRDefault="00C86744">
      <w:pPr>
        <w:pStyle w:val="Heading2"/>
      </w:pPr>
      <w:bookmarkStart w:id="10" w:name="limitations-and-future-directions"/>
      <w:r>
        <w:lastRenderedPageBreak/>
        <w:t>Limitations and Future Directions</w:t>
      </w:r>
    </w:p>
    <w:p w14:paraId="2CD310B8" w14:textId="77777777" w:rsidR="00AF6CB6" w:rsidRDefault="00C86744">
      <w:pPr>
        <w:pStyle w:val="FirstParagraph"/>
      </w:pPr>
      <w:r>
        <w:t>There are several limitations to the IAS; There are some redundant items, the 5-point scale does not provide great variability, and the structure could be improved. Therefore, improving the IAS, or creating a new questionnaire investigating interoception could be useful to achieving reliable and accurate indication of interoceptive awareness.</w:t>
      </w:r>
    </w:p>
    <w:p w14:paraId="2CD310B9" w14:textId="77777777" w:rsidR="00AF6CB6" w:rsidRDefault="00C86744">
      <w:pPr>
        <w:pStyle w:val="Heading2"/>
      </w:pPr>
      <w:bookmarkStart w:id="11" w:name="study-2"/>
      <w:bookmarkEnd w:id="10"/>
      <w:r>
        <w:t>Study 2</w:t>
      </w:r>
    </w:p>
    <w:p w14:paraId="2CD310BA" w14:textId="77777777" w:rsidR="00AF6CB6" w:rsidRDefault="00C86744">
      <w:pPr>
        <w:pStyle w:val="FirstParagraph"/>
      </w:pPr>
      <w:r>
        <w:t>Study 2 aims to investigate correlates of the IAS. Correlations of the IAS will be computed to assess the relationship between subjective interoceptive accuracy and other subjective measures of interoception, mood, psychopathology, personality, and beliefs. Investigating correlates will help validate the IAS, as well as other interoceptive measures in the future. The</w:t>
      </w:r>
    </w:p>
    <w:p w14:paraId="2CD310BB" w14:textId="77777777" w:rsidR="00AF6CB6" w:rsidRDefault="00C86744">
      <w:pPr>
        <w:pStyle w:val="Heading2"/>
      </w:pPr>
      <w:bookmarkStart w:id="12" w:name="methods"/>
      <w:bookmarkEnd w:id="11"/>
      <w:r>
        <w:t>Methods</w:t>
      </w:r>
    </w:p>
    <w:p w14:paraId="2CD310BC" w14:textId="77777777" w:rsidR="00AF6CB6" w:rsidRDefault="00C86744">
      <w:pPr>
        <w:pStyle w:val="Heading3"/>
      </w:pPr>
      <w:bookmarkStart w:id="13" w:name="materials"/>
      <w:r>
        <w:t>Materials</w:t>
      </w:r>
    </w:p>
    <w:p w14:paraId="2CD310BD" w14:textId="77777777" w:rsidR="00AF6CB6" w:rsidRDefault="00C86744">
      <w:pPr>
        <w:pStyle w:val="FirstParagraph"/>
      </w:pPr>
      <w:r>
        <w:t>The questionnaires used for the IAS correlates are listed in Table 2 (</w:t>
      </w:r>
      <w:r>
        <w:rPr>
          <w:b/>
          <w:bCs/>
        </w:rPr>
        <w:t>TODO: add the rest of the questionnaires, sample items and references</w:t>
      </w:r>
      <w:r>
        <w:t>).</w:t>
      </w:r>
    </w:p>
    <w:p w14:paraId="2CD310BE" w14:textId="77777777" w:rsidR="00AF6CB6" w:rsidRDefault="00C86744">
      <w:pPr>
        <w:pStyle w:val="BodyText"/>
      </w:pPr>
      <w:r>
        <w:rPr>
          <w:b/>
          <w:bCs/>
        </w:rPr>
        <w:t>Table 2.</w:t>
      </w:r>
      <w:r>
        <w:t xml:space="preserve"> </w:t>
      </w:r>
      <w:r>
        <w:t>Questionnaires used for the IAS correlates analysis.</w:t>
      </w:r>
    </w:p>
    <w:tbl>
      <w:tblPr>
        <w:tblStyle w:val="Table"/>
        <w:tblW w:w="5000" w:type="pct"/>
        <w:tblLayout w:type="fixed"/>
        <w:tblLook w:val="0020" w:firstRow="1" w:lastRow="0" w:firstColumn="0" w:lastColumn="0" w:noHBand="0" w:noVBand="0"/>
      </w:tblPr>
      <w:tblGrid>
        <w:gridCol w:w="1560"/>
        <w:gridCol w:w="1560"/>
        <w:gridCol w:w="1560"/>
        <w:gridCol w:w="1560"/>
        <w:gridCol w:w="1560"/>
        <w:gridCol w:w="1560"/>
      </w:tblGrid>
      <w:tr w:rsidR="00AF6CB6" w14:paraId="2CD310C5" w14:textId="77777777" w:rsidTr="00AF6CB6">
        <w:trPr>
          <w:cnfStyle w:val="100000000000" w:firstRow="1" w:lastRow="0" w:firstColumn="0" w:lastColumn="0" w:oddVBand="0" w:evenVBand="0" w:oddHBand="0" w:evenHBand="0" w:firstRowFirstColumn="0" w:firstRowLastColumn="0" w:lastRowFirstColumn="0" w:lastRowLastColumn="0"/>
          <w:tblHeader/>
        </w:trPr>
        <w:tc>
          <w:tcPr>
            <w:tcW w:w="1320" w:type="dxa"/>
          </w:tcPr>
          <w:p w14:paraId="2CD310BF" w14:textId="77777777" w:rsidR="00AF6CB6" w:rsidRDefault="00C86744">
            <w:pPr>
              <w:pStyle w:val="Compact"/>
            </w:pPr>
            <w:r>
              <w:t>Questionnaire</w:t>
            </w:r>
          </w:p>
        </w:tc>
        <w:tc>
          <w:tcPr>
            <w:tcW w:w="1320" w:type="dxa"/>
          </w:tcPr>
          <w:p w14:paraId="2CD310C0" w14:textId="77777777" w:rsidR="00AF6CB6" w:rsidRDefault="00C86744">
            <w:pPr>
              <w:pStyle w:val="Compact"/>
            </w:pPr>
            <w:r>
              <w:t>Number of Dimensions</w:t>
            </w:r>
          </w:p>
        </w:tc>
        <w:tc>
          <w:tcPr>
            <w:tcW w:w="1320" w:type="dxa"/>
          </w:tcPr>
          <w:p w14:paraId="2CD310C1" w14:textId="77777777" w:rsidR="00AF6CB6" w:rsidRDefault="00C86744">
            <w:pPr>
              <w:pStyle w:val="Compact"/>
            </w:pPr>
            <w:r>
              <w:t>Assessment</w:t>
            </w:r>
          </w:p>
        </w:tc>
        <w:tc>
          <w:tcPr>
            <w:tcW w:w="1320" w:type="dxa"/>
          </w:tcPr>
          <w:p w14:paraId="2CD310C2" w14:textId="77777777" w:rsidR="00AF6CB6" w:rsidRDefault="00C86744">
            <w:pPr>
              <w:pStyle w:val="Compact"/>
            </w:pPr>
            <w:r>
              <w:t>Number of Items</w:t>
            </w:r>
          </w:p>
        </w:tc>
        <w:tc>
          <w:tcPr>
            <w:tcW w:w="1320" w:type="dxa"/>
          </w:tcPr>
          <w:p w14:paraId="2CD310C3" w14:textId="77777777" w:rsidR="00AF6CB6" w:rsidRDefault="00C86744">
            <w:pPr>
              <w:pStyle w:val="Compact"/>
            </w:pPr>
            <w:r>
              <w:t>Scoring</w:t>
            </w:r>
          </w:p>
        </w:tc>
        <w:tc>
          <w:tcPr>
            <w:tcW w:w="1320" w:type="dxa"/>
          </w:tcPr>
          <w:p w14:paraId="2CD310C4" w14:textId="77777777" w:rsidR="00AF6CB6" w:rsidRDefault="00C86744">
            <w:pPr>
              <w:pStyle w:val="Compact"/>
            </w:pPr>
            <w:r>
              <w:t>Example Item</w:t>
            </w:r>
          </w:p>
        </w:tc>
      </w:tr>
      <w:tr w:rsidR="00AF6CB6" w14:paraId="2CD310CC" w14:textId="77777777">
        <w:tc>
          <w:tcPr>
            <w:tcW w:w="1320" w:type="dxa"/>
          </w:tcPr>
          <w:p w14:paraId="2CD310C6" w14:textId="77777777" w:rsidR="00AF6CB6" w:rsidRDefault="00C86744">
            <w:pPr>
              <w:pStyle w:val="Compact"/>
            </w:pPr>
            <w:r>
              <w:rPr>
                <w:b/>
                <w:bCs/>
              </w:rPr>
              <w:t>Interoceptive Related</w:t>
            </w:r>
          </w:p>
        </w:tc>
        <w:tc>
          <w:tcPr>
            <w:tcW w:w="1320" w:type="dxa"/>
          </w:tcPr>
          <w:p w14:paraId="2CD310C7" w14:textId="77777777" w:rsidR="00AF6CB6" w:rsidRDefault="00AF6CB6">
            <w:pPr>
              <w:pStyle w:val="Compact"/>
            </w:pPr>
          </w:p>
        </w:tc>
        <w:tc>
          <w:tcPr>
            <w:tcW w:w="1320" w:type="dxa"/>
          </w:tcPr>
          <w:p w14:paraId="2CD310C8" w14:textId="77777777" w:rsidR="00AF6CB6" w:rsidRDefault="00AF6CB6">
            <w:pPr>
              <w:pStyle w:val="Compact"/>
            </w:pPr>
          </w:p>
        </w:tc>
        <w:tc>
          <w:tcPr>
            <w:tcW w:w="1320" w:type="dxa"/>
          </w:tcPr>
          <w:p w14:paraId="2CD310C9" w14:textId="77777777" w:rsidR="00AF6CB6" w:rsidRDefault="00AF6CB6">
            <w:pPr>
              <w:pStyle w:val="Compact"/>
            </w:pPr>
          </w:p>
        </w:tc>
        <w:tc>
          <w:tcPr>
            <w:tcW w:w="1320" w:type="dxa"/>
          </w:tcPr>
          <w:p w14:paraId="2CD310CA" w14:textId="77777777" w:rsidR="00AF6CB6" w:rsidRDefault="00AF6CB6">
            <w:pPr>
              <w:pStyle w:val="Compact"/>
            </w:pPr>
          </w:p>
        </w:tc>
        <w:tc>
          <w:tcPr>
            <w:tcW w:w="1320" w:type="dxa"/>
          </w:tcPr>
          <w:p w14:paraId="2CD310CB" w14:textId="77777777" w:rsidR="00AF6CB6" w:rsidRDefault="00AF6CB6">
            <w:pPr>
              <w:pStyle w:val="Compact"/>
            </w:pPr>
          </w:p>
        </w:tc>
      </w:tr>
      <w:tr w:rsidR="00AF6CB6" w14:paraId="2CD310D3" w14:textId="77777777">
        <w:tc>
          <w:tcPr>
            <w:tcW w:w="1320" w:type="dxa"/>
          </w:tcPr>
          <w:p w14:paraId="2CD310CD" w14:textId="77777777" w:rsidR="00AF6CB6" w:rsidRDefault="00C86744">
            <w:pPr>
              <w:pStyle w:val="Compact"/>
            </w:pPr>
            <w:r>
              <w:t>MAIA-2</w:t>
            </w:r>
          </w:p>
        </w:tc>
        <w:tc>
          <w:tcPr>
            <w:tcW w:w="1320" w:type="dxa"/>
          </w:tcPr>
          <w:p w14:paraId="2CD310CE" w14:textId="77777777" w:rsidR="00AF6CB6" w:rsidRDefault="00C86744">
            <w:pPr>
              <w:pStyle w:val="Compact"/>
            </w:pPr>
            <w:r>
              <w:t>8</w:t>
            </w:r>
          </w:p>
        </w:tc>
        <w:tc>
          <w:tcPr>
            <w:tcW w:w="1320" w:type="dxa"/>
          </w:tcPr>
          <w:p w14:paraId="2CD310CF" w14:textId="77777777" w:rsidR="00AF6CB6" w:rsidRDefault="00C86744">
            <w:pPr>
              <w:pStyle w:val="Compact"/>
            </w:pPr>
            <w:r>
              <w:t>Interoception</w:t>
            </w:r>
          </w:p>
        </w:tc>
        <w:tc>
          <w:tcPr>
            <w:tcW w:w="1320" w:type="dxa"/>
          </w:tcPr>
          <w:p w14:paraId="2CD310D0" w14:textId="77777777" w:rsidR="00AF6CB6" w:rsidRDefault="00C86744">
            <w:pPr>
              <w:pStyle w:val="Compact"/>
            </w:pPr>
            <w:r>
              <w:t>37</w:t>
            </w:r>
          </w:p>
        </w:tc>
        <w:tc>
          <w:tcPr>
            <w:tcW w:w="1320" w:type="dxa"/>
          </w:tcPr>
          <w:p w14:paraId="2CD310D1" w14:textId="77777777" w:rsidR="00AF6CB6" w:rsidRDefault="00C86744">
            <w:pPr>
              <w:pStyle w:val="Compact"/>
            </w:pPr>
            <w:r>
              <w:t>6-point Likert scale</w:t>
            </w:r>
          </w:p>
        </w:tc>
        <w:tc>
          <w:tcPr>
            <w:tcW w:w="1320" w:type="dxa"/>
          </w:tcPr>
          <w:p w14:paraId="2CD310D2" w14:textId="77777777" w:rsidR="00AF6CB6" w:rsidRDefault="00AF6CB6">
            <w:pPr>
              <w:pStyle w:val="Compact"/>
            </w:pPr>
          </w:p>
        </w:tc>
      </w:tr>
      <w:tr w:rsidR="00AF6CB6" w14:paraId="2CD310DA" w14:textId="77777777">
        <w:tc>
          <w:tcPr>
            <w:tcW w:w="1320" w:type="dxa"/>
          </w:tcPr>
          <w:p w14:paraId="2CD310D4" w14:textId="77777777" w:rsidR="00AF6CB6" w:rsidRDefault="00C86744">
            <w:pPr>
              <w:pStyle w:val="Compact"/>
            </w:pPr>
            <w:r>
              <w:t>BPQ</w:t>
            </w:r>
          </w:p>
        </w:tc>
        <w:tc>
          <w:tcPr>
            <w:tcW w:w="1320" w:type="dxa"/>
          </w:tcPr>
          <w:p w14:paraId="2CD310D5" w14:textId="77777777" w:rsidR="00AF6CB6" w:rsidRDefault="00C86744">
            <w:pPr>
              <w:pStyle w:val="Compact"/>
            </w:pPr>
            <w:r>
              <w:t>2</w:t>
            </w:r>
          </w:p>
        </w:tc>
        <w:tc>
          <w:tcPr>
            <w:tcW w:w="1320" w:type="dxa"/>
          </w:tcPr>
          <w:p w14:paraId="2CD310D6" w14:textId="77777777" w:rsidR="00AF6CB6" w:rsidRDefault="00C86744">
            <w:pPr>
              <w:pStyle w:val="Compact"/>
            </w:pPr>
            <w:r>
              <w:t>Body awareness and autonomic reactivity</w:t>
            </w:r>
          </w:p>
        </w:tc>
        <w:tc>
          <w:tcPr>
            <w:tcW w:w="1320" w:type="dxa"/>
          </w:tcPr>
          <w:p w14:paraId="2CD310D7" w14:textId="77777777" w:rsidR="00AF6CB6" w:rsidRDefault="00C86744">
            <w:pPr>
              <w:pStyle w:val="Compact"/>
            </w:pPr>
            <w:r>
              <w:t>49</w:t>
            </w:r>
          </w:p>
        </w:tc>
        <w:tc>
          <w:tcPr>
            <w:tcW w:w="1320" w:type="dxa"/>
          </w:tcPr>
          <w:p w14:paraId="2CD310D8" w14:textId="77777777" w:rsidR="00AF6CB6" w:rsidRDefault="00C86744">
            <w:pPr>
              <w:pStyle w:val="Compact"/>
            </w:pPr>
            <w:r>
              <w:t>5-point Likert scale</w:t>
            </w:r>
          </w:p>
        </w:tc>
        <w:tc>
          <w:tcPr>
            <w:tcW w:w="1320" w:type="dxa"/>
          </w:tcPr>
          <w:p w14:paraId="2CD310D9" w14:textId="77777777" w:rsidR="00AF6CB6" w:rsidRDefault="00AF6CB6">
            <w:pPr>
              <w:pStyle w:val="Compact"/>
            </w:pPr>
          </w:p>
        </w:tc>
      </w:tr>
      <w:tr w:rsidR="00AF6CB6" w14:paraId="2CD310E1" w14:textId="77777777">
        <w:tc>
          <w:tcPr>
            <w:tcW w:w="1320" w:type="dxa"/>
          </w:tcPr>
          <w:p w14:paraId="2CD310DB" w14:textId="77777777" w:rsidR="00AF6CB6" w:rsidRDefault="00C86744">
            <w:pPr>
              <w:pStyle w:val="Compact"/>
            </w:pPr>
            <w:r>
              <w:lastRenderedPageBreak/>
              <w:t>TAS-20</w:t>
            </w:r>
          </w:p>
        </w:tc>
        <w:tc>
          <w:tcPr>
            <w:tcW w:w="1320" w:type="dxa"/>
          </w:tcPr>
          <w:p w14:paraId="2CD310DC" w14:textId="77777777" w:rsidR="00AF6CB6" w:rsidRDefault="00C86744">
            <w:pPr>
              <w:pStyle w:val="Compact"/>
            </w:pPr>
            <w:r>
              <w:t>3</w:t>
            </w:r>
          </w:p>
        </w:tc>
        <w:tc>
          <w:tcPr>
            <w:tcW w:w="1320" w:type="dxa"/>
          </w:tcPr>
          <w:p w14:paraId="2CD310DD" w14:textId="77777777" w:rsidR="00AF6CB6" w:rsidRDefault="00C86744">
            <w:pPr>
              <w:pStyle w:val="Compact"/>
            </w:pPr>
            <w:r>
              <w:t>Alexithymia</w:t>
            </w:r>
          </w:p>
        </w:tc>
        <w:tc>
          <w:tcPr>
            <w:tcW w:w="1320" w:type="dxa"/>
          </w:tcPr>
          <w:p w14:paraId="2CD310DE" w14:textId="77777777" w:rsidR="00AF6CB6" w:rsidRDefault="00C86744">
            <w:pPr>
              <w:pStyle w:val="Compact"/>
            </w:pPr>
            <w:r>
              <w:t>20</w:t>
            </w:r>
          </w:p>
        </w:tc>
        <w:tc>
          <w:tcPr>
            <w:tcW w:w="1320" w:type="dxa"/>
          </w:tcPr>
          <w:p w14:paraId="2CD310DF" w14:textId="77777777" w:rsidR="00AF6CB6" w:rsidRDefault="00C86744">
            <w:pPr>
              <w:pStyle w:val="Compact"/>
            </w:pPr>
            <w:r>
              <w:t>5-point Likert scale</w:t>
            </w:r>
          </w:p>
        </w:tc>
        <w:tc>
          <w:tcPr>
            <w:tcW w:w="1320" w:type="dxa"/>
          </w:tcPr>
          <w:p w14:paraId="2CD310E0" w14:textId="77777777" w:rsidR="00AF6CB6" w:rsidRDefault="00AF6CB6">
            <w:pPr>
              <w:pStyle w:val="Compact"/>
            </w:pPr>
          </w:p>
        </w:tc>
      </w:tr>
      <w:tr w:rsidR="00AF6CB6" w14:paraId="2CD310E8" w14:textId="77777777">
        <w:tc>
          <w:tcPr>
            <w:tcW w:w="1320" w:type="dxa"/>
          </w:tcPr>
          <w:p w14:paraId="2CD310E2" w14:textId="77777777" w:rsidR="00AF6CB6" w:rsidRDefault="00C86744">
            <w:pPr>
              <w:pStyle w:val="Compact"/>
            </w:pPr>
            <w:r>
              <w:t>BVAQ</w:t>
            </w:r>
          </w:p>
        </w:tc>
        <w:tc>
          <w:tcPr>
            <w:tcW w:w="1320" w:type="dxa"/>
          </w:tcPr>
          <w:p w14:paraId="2CD310E3" w14:textId="77777777" w:rsidR="00AF6CB6" w:rsidRDefault="00C86744">
            <w:pPr>
              <w:pStyle w:val="Compact"/>
            </w:pPr>
            <w:r>
              <w:t>2</w:t>
            </w:r>
          </w:p>
        </w:tc>
        <w:tc>
          <w:tcPr>
            <w:tcW w:w="1320" w:type="dxa"/>
          </w:tcPr>
          <w:p w14:paraId="2CD310E4" w14:textId="77777777" w:rsidR="00AF6CB6" w:rsidRDefault="00C86744">
            <w:pPr>
              <w:pStyle w:val="Compact"/>
            </w:pPr>
            <w:r>
              <w:t>Alexithymia</w:t>
            </w:r>
          </w:p>
        </w:tc>
        <w:tc>
          <w:tcPr>
            <w:tcW w:w="1320" w:type="dxa"/>
          </w:tcPr>
          <w:p w14:paraId="2CD310E5" w14:textId="77777777" w:rsidR="00AF6CB6" w:rsidRDefault="00C86744">
            <w:pPr>
              <w:pStyle w:val="Compact"/>
            </w:pPr>
            <w:r>
              <w:t>40</w:t>
            </w:r>
          </w:p>
        </w:tc>
        <w:tc>
          <w:tcPr>
            <w:tcW w:w="1320" w:type="dxa"/>
          </w:tcPr>
          <w:p w14:paraId="2CD310E6" w14:textId="77777777" w:rsidR="00AF6CB6" w:rsidRDefault="00C86744">
            <w:pPr>
              <w:pStyle w:val="Compact"/>
            </w:pPr>
            <w:r>
              <w:t>5-point Likert scale</w:t>
            </w:r>
          </w:p>
        </w:tc>
        <w:tc>
          <w:tcPr>
            <w:tcW w:w="1320" w:type="dxa"/>
          </w:tcPr>
          <w:p w14:paraId="2CD310E7" w14:textId="77777777" w:rsidR="00AF6CB6" w:rsidRDefault="00AF6CB6">
            <w:pPr>
              <w:pStyle w:val="Compact"/>
            </w:pPr>
          </w:p>
        </w:tc>
      </w:tr>
      <w:tr w:rsidR="00AF6CB6" w14:paraId="2CD310EF" w14:textId="77777777">
        <w:tc>
          <w:tcPr>
            <w:tcW w:w="1320" w:type="dxa"/>
          </w:tcPr>
          <w:p w14:paraId="2CD310E9" w14:textId="77777777" w:rsidR="00AF6CB6" w:rsidRDefault="00C86744">
            <w:pPr>
              <w:pStyle w:val="Compact"/>
            </w:pPr>
            <w:r>
              <w:rPr>
                <w:b/>
                <w:bCs/>
              </w:rPr>
              <w:t>Mood</w:t>
            </w:r>
          </w:p>
        </w:tc>
        <w:tc>
          <w:tcPr>
            <w:tcW w:w="1320" w:type="dxa"/>
          </w:tcPr>
          <w:p w14:paraId="2CD310EA" w14:textId="77777777" w:rsidR="00AF6CB6" w:rsidRDefault="00AF6CB6">
            <w:pPr>
              <w:pStyle w:val="Compact"/>
            </w:pPr>
          </w:p>
        </w:tc>
        <w:tc>
          <w:tcPr>
            <w:tcW w:w="1320" w:type="dxa"/>
          </w:tcPr>
          <w:p w14:paraId="2CD310EB" w14:textId="77777777" w:rsidR="00AF6CB6" w:rsidRDefault="00AF6CB6">
            <w:pPr>
              <w:pStyle w:val="Compact"/>
            </w:pPr>
          </w:p>
        </w:tc>
        <w:tc>
          <w:tcPr>
            <w:tcW w:w="1320" w:type="dxa"/>
          </w:tcPr>
          <w:p w14:paraId="2CD310EC" w14:textId="77777777" w:rsidR="00AF6CB6" w:rsidRDefault="00AF6CB6">
            <w:pPr>
              <w:pStyle w:val="Compact"/>
            </w:pPr>
          </w:p>
        </w:tc>
        <w:tc>
          <w:tcPr>
            <w:tcW w:w="1320" w:type="dxa"/>
          </w:tcPr>
          <w:p w14:paraId="2CD310ED" w14:textId="77777777" w:rsidR="00AF6CB6" w:rsidRDefault="00AF6CB6">
            <w:pPr>
              <w:pStyle w:val="Compact"/>
            </w:pPr>
          </w:p>
        </w:tc>
        <w:tc>
          <w:tcPr>
            <w:tcW w:w="1320" w:type="dxa"/>
          </w:tcPr>
          <w:p w14:paraId="2CD310EE" w14:textId="77777777" w:rsidR="00AF6CB6" w:rsidRDefault="00AF6CB6">
            <w:pPr>
              <w:pStyle w:val="Compact"/>
            </w:pPr>
          </w:p>
        </w:tc>
      </w:tr>
      <w:tr w:rsidR="00AF6CB6" w14:paraId="2CD310F6" w14:textId="77777777">
        <w:tc>
          <w:tcPr>
            <w:tcW w:w="1320" w:type="dxa"/>
          </w:tcPr>
          <w:p w14:paraId="2CD310F0" w14:textId="77777777" w:rsidR="00AF6CB6" w:rsidRDefault="00C86744">
            <w:pPr>
              <w:pStyle w:val="Compact"/>
            </w:pPr>
            <w:r>
              <w:t>BDI-II</w:t>
            </w:r>
          </w:p>
        </w:tc>
        <w:tc>
          <w:tcPr>
            <w:tcW w:w="1320" w:type="dxa"/>
          </w:tcPr>
          <w:p w14:paraId="2CD310F1" w14:textId="77777777" w:rsidR="00AF6CB6" w:rsidRDefault="00C86744">
            <w:pPr>
              <w:pStyle w:val="Compact"/>
            </w:pPr>
            <w:r>
              <w:t>1</w:t>
            </w:r>
          </w:p>
        </w:tc>
        <w:tc>
          <w:tcPr>
            <w:tcW w:w="1320" w:type="dxa"/>
          </w:tcPr>
          <w:p w14:paraId="2CD310F2" w14:textId="77777777" w:rsidR="00AF6CB6" w:rsidRDefault="00C86744">
            <w:pPr>
              <w:pStyle w:val="Compact"/>
            </w:pPr>
            <w:r>
              <w:t>Severity of depressive symptoms</w:t>
            </w:r>
          </w:p>
        </w:tc>
        <w:tc>
          <w:tcPr>
            <w:tcW w:w="1320" w:type="dxa"/>
          </w:tcPr>
          <w:p w14:paraId="2CD310F3" w14:textId="77777777" w:rsidR="00AF6CB6" w:rsidRDefault="00C86744">
            <w:pPr>
              <w:pStyle w:val="Compact"/>
            </w:pPr>
            <w:r>
              <w:t>21</w:t>
            </w:r>
          </w:p>
        </w:tc>
        <w:tc>
          <w:tcPr>
            <w:tcW w:w="1320" w:type="dxa"/>
          </w:tcPr>
          <w:p w14:paraId="2CD310F4" w14:textId="77777777" w:rsidR="00AF6CB6" w:rsidRDefault="00C86744">
            <w:pPr>
              <w:pStyle w:val="Compact"/>
            </w:pPr>
            <w:r>
              <w:t>0-to-3-point values</w:t>
            </w:r>
          </w:p>
        </w:tc>
        <w:tc>
          <w:tcPr>
            <w:tcW w:w="1320" w:type="dxa"/>
          </w:tcPr>
          <w:p w14:paraId="2CD310F5" w14:textId="77777777" w:rsidR="00AF6CB6" w:rsidRDefault="00AF6CB6">
            <w:pPr>
              <w:pStyle w:val="Compact"/>
            </w:pPr>
          </w:p>
        </w:tc>
      </w:tr>
      <w:tr w:rsidR="00AF6CB6" w14:paraId="2CD310FD" w14:textId="77777777">
        <w:tc>
          <w:tcPr>
            <w:tcW w:w="1320" w:type="dxa"/>
          </w:tcPr>
          <w:p w14:paraId="2CD310F7" w14:textId="77777777" w:rsidR="00AF6CB6" w:rsidRDefault="00C86744">
            <w:pPr>
              <w:pStyle w:val="Compact"/>
            </w:pPr>
            <w:r>
              <w:t>PHQ-4</w:t>
            </w:r>
          </w:p>
        </w:tc>
        <w:tc>
          <w:tcPr>
            <w:tcW w:w="1320" w:type="dxa"/>
          </w:tcPr>
          <w:p w14:paraId="2CD310F8" w14:textId="77777777" w:rsidR="00AF6CB6" w:rsidRDefault="00C86744">
            <w:pPr>
              <w:pStyle w:val="Compact"/>
            </w:pPr>
            <w:r>
              <w:t>2</w:t>
            </w:r>
          </w:p>
        </w:tc>
        <w:tc>
          <w:tcPr>
            <w:tcW w:w="1320" w:type="dxa"/>
          </w:tcPr>
          <w:p w14:paraId="2CD310F9" w14:textId="77777777" w:rsidR="00AF6CB6" w:rsidRDefault="00C86744">
            <w:pPr>
              <w:pStyle w:val="Compact"/>
            </w:pPr>
            <w:r>
              <w:t>Anxiety and depressive symptoms</w:t>
            </w:r>
          </w:p>
        </w:tc>
        <w:tc>
          <w:tcPr>
            <w:tcW w:w="1320" w:type="dxa"/>
          </w:tcPr>
          <w:p w14:paraId="2CD310FA" w14:textId="77777777" w:rsidR="00AF6CB6" w:rsidRDefault="00C86744">
            <w:pPr>
              <w:pStyle w:val="Compact"/>
            </w:pPr>
            <w:r>
              <w:t>4</w:t>
            </w:r>
          </w:p>
        </w:tc>
        <w:tc>
          <w:tcPr>
            <w:tcW w:w="1320" w:type="dxa"/>
          </w:tcPr>
          <w:p w14:paraId="2CD310FB" w14:textId="77777777" w:rsidR="00AF6CB6" w:rsidRDefault="00C86744">
            <w:pPr>
              <w:pStyle w:val="Compact"/>
            </w:pPr>
            <w:r>
              <w:t>5-point Likert scale</w:t>
            </w:r>
          </w:p>
        </w:tc>
        <w:tc>
          <w:tcPr>
            <w:tcW w:w="1320" w:type="dxa"/>
          </w:tcPr>
          <w:p w14:paraId="2CD310FC" w14:textId="77777777" w:rsidR="00AF6CB6" w:rsidRDefault="00AF6CB6">
            <w:pPr>
              <w:pStyle w:val="Compact"/>
            </w:pPr>
          </w:p>
        </w:tc>
      </w:tr>
      <w:tr w:rsidR="00AF6CB6" w14:paraId="2CD31104" w14:textId="77777777">
        <w:tc>
          <w:tcPr>
            <w:tcW w:w="1320" w:type="dxa"/>
          </w:tcPr>
          <w:p w14:paraId="2CD310FE" w14:textId="77777777" w:rsidR="00AF6CB6" w:rsidRDefault="00C86744">
            <w:pPr>
              <w:pStyle w:val="Compact"/>
            </w:pPr>
            <w:r>
              <w:t>STAI-T</w:t>
            </w:r>
          </w:p>
        </w:tc>
        <w:tc>
          <w:tcPr>
            <w:tcW w:w="1320" w:type="dxa"/>
          </w:tcPr>
          <w:p w14:paraId="2CD310FF" w14:textId="77777777" w:rsidR="00AF6CB6" w:rsidRDefault="00C86744">
            <w:pPr>
              <w:pStyle w:val="Compact"/>
            </w:pPr>
            <w:r>
              <w:t>1</w:t>
            </w:r>
          </w:p>
        </w:tc>
        <w:tc>
          <w:tcPr>
            <w:tcW w:w="1320" w:type="dxa"/>
          </w:tcPr>
          <w:p w14:paraId="2CD31100" w14:textId="77777777" w:rsidR="00AF6CB6" w:rsidRDefault="00C86744">
            <w:pPr>
              <w:pStyle w:val="Compact"/>
            </w:pPr>
            <w:r>
              <w:t>Trait anxiety</w:t>
            </w:r>
          </w:p>
        </w:tc>
        <w:tc>
          <w:tcPr>
            <w:tcW w:w="1320" w:type="dxa"/>
          </w:tcPr>
          <w:p w14:paraId="2CD31101" w14:textId="77777777" w:rsidR="00AF6CB6" w:rsidRDefault="00C86744">
            <w:pPr>
              <w:pStyle w:val="Compact"/>
            </w:pPr>
            <w:r>
              <w:t>20</w:t>
            </w:r>
          </w:p>
        </w:tc>
        <w:tc>
          <w:tcPr>
            <w:tcW w:w="1320" w:type="dxa"/>
          </w:tcPr>
          <w:p w14:paraId="2CD31102" w14:textId="77777777" w:rsidR="00AF6CB6" w:rsidRDefault="00C86744">
            <w:pPr>
              <w:pStyle w:val="Compact"/>
            </w:pPr>
            <w:r>
              <w:t>4-point Likert scale</w:t>
            </w:r>
          </w:p>
        </w:tc>
        <w:tc>
          <w:tcPr>
            <w:tcW w:w="1320" w:type="dxa"/>
          </w:tcPr>
          <w:p w14:paraId="2CD31103" w14:textId="77777777" w:rsidR="00AF6CB6" w:rsidRDefault="00AF6CB6">
            <w:pPr>
              <w:pStyle w:val="Compact"/>
            </w:pPr>
          </w:p>
        </w:tc>
      </w:tr>
      <w:tr w:rsidR="00AF6CB6" w14:paraId="2CD3110B" w14:textId="77777777">
        <w:tc>
          <w:tcPr>
            <w:tcW w:w="1320" w:type="dxa"/>
          </w:tcPr>
          <w:p w14:paraId="2CD31105" w14:textId="77777777" w:rsidR="00AF6CB6" w:rsidRDefault="00C86744">
            <w:pPr>
              <w:pStyle w:val="Compact"/>
            </w:pPr>
            <w:r>
              <w:t>GAD-2</w:t>
            </w:r>
          </w:p>
        </w:tc>
        <w:tc>
          <w:tcPr>
            <w:tcW w:w="1320" w:type="dxa"/>
          </w:tcPr>
          <w:p w14:paraId="2CD31106" w14:textId="77777777" w:rsidR="00AF6CB6" w:rsidRDefault="00C86744">
            <w:pPr>
              <w:pStyle w:val="Compact"/>
            </w:pPr>
            <w:r>
              <w:t>1</w:t>
            </w:r>
          </w:p>
        </w:tc>
        <w:tc>
          <w:tcPr>
            <w:tcW w:w="1320" w:type="dxa"/>
          </w:tcPr>
          <w:p w14:paraId="2CD31107" w14:textId="77777777" w:rsidR="00AF6CB6" w:rsidRDefault="00C86744">
            <w:pPr>
              <w:pStyle w:val="Compact"/>
            </w:pPr>
            <w:r>
              <w:t>General Anxiety</w:t>
            </w:r>
          </w:p>
        </w:tc>
        <w:tc>
          <w:tcPr>
            <w:tcW w:w="1320" w:type="dxa"/>
          </w:tcPr>
          <w:p w14:paraId="2CD31108" w14:textId="77777777" w:rsidR="00AF6CB6" w:rsidRDefault="00C86744">
            <w:pPr>
              <w:pStyle w:val="Compact"/>
            </w:pPr>
            <w:r>
              <w:t>2</w:t>
            </w:r>
          </w:p>
        </w:tc>
        <w:tc>
          <w:tcPr>
            <w:tcW w:w="1320" w:type="dxa"/>
          </w:tcPr>
          <w:p w14:paraId="2CD31109" w14:textId="77777777" w:rsidR="00AF6CB6" w:rsidRDefault="00C86744">
            <w:pPr>
              <w:pStyle w:val="Compact"/>
            </w:pPr>
            <w:r>
              <w:t>4-point Likert scale</w:t>
            </w:r>
          </w:p>
        </w:tc>
        <w:tc>
          <w:tcPr>
            <w:tcW w:w="1320" w:type="dxa"/>
          </w:tcPr>
          <w:p w14:paraId="2CD3110A" w14:textId="77777777" w:rsidR="00AF6CB6" w:rsidRDefault="00AF6CB6">
            <w:pPr>
              <w:pStyle w:val="Compact"/>
            </w:pPr>
          </w:p>
        </w:tc>
      </w:tr>
      <w:tr w:rsidR="00AF6CB6" w14:paraId="2CD31112" w14:textId="77777777">
        <w:tc>
          <w:tcPr>
            <w:tcW w:w="1320" w:type="dxa"/>
          </w:tcPr>
          <w:p w14:paraId="2CD3110C" w14:textId="77777777" w:rsidR="00AF6CB6" w:rsidRDefault="00C86744">
            <w:pPr>
              <w:pStyle w:val="Compact"/>
            </w:pPr>
            <w:r>
              <w:rPr>
                <w:b/>
                <w:bCs/>
              </w:rPr>
              <w:t>Personality</w:t>
            </w:r>
          </w:p>
        </w:tc>
        <w:tc>
          <w:tcPr>
            <w:tcW w:w="1320" w:type="dxa"/>
          </w:tcPr>
          <w:p w14:paraId="2CD3110D" w14:textId="77777777" w:rsidR="00AF6CB6" w:rsidRDefault="00AF6CB6">
            <w:pPr>
              <w:pStyle w:val="Compact"/>
            </w:pPr>
          </w:p>
        </w:tc>
        <w:tc>
          <w:tcPr>
            <w:tcW w:w="1320" w:type="dxa"/>
          </w:tcPr>
          <w:p w14:paraId="2CD3110E" w14:textId="77777777" w:rsidR="00AF6CB6" w:rsidRDefault="00AF6CB6">
            <w:pPr>
              <w:pStyle w:val="Compact"/>
            </w:pPr>
          </w:p>
        </w:tc>
        <w:tc>
          <w:tcPr>
            <w:tcW w:w="1320" w:type="dxa"/>
          </w:tcPr>
          <w:p w14:paraId="2CD3110F" w14:textId="77777777" w:rsidR="00AF6CB6" w:rsidRDefault="00AF6CB6">
            <w:pPr>
              <w:pStyle w:val="Compact"/>
            </w:pPr>
          </w:p>
        </w:tc>
        <w:tc>
          <w:tcPr>
            <w:tcW w:w="1320" w:type="dxa"/>
          </w:tcPr>
          <w:p w14:paraId="2CD31110" w14:textId="77777777" w:rsidR="00AF6CB6" w:rsidRDefault="00AF6CB6">
            <w:pPr>
              <w:pStyle w:val="Compact"/>
            </w:pPr>
          </w:p>
        </w:tc>
        <w:tc>
          <w:tcPr>
            <w:tcW w:w="1320" w:type="dxa"/>
          </w:tcPr>
          <w:p w14:paraId="2CD31111" w14:textId="77777777" w:rsidR="00AF6CB6" w:rsidRDefault="00AF6CB6">
            <w:pPr>
              <w:pStyle w:val="Compact"/>
            </w:pPr>
          </w:p>
        </w:tc>
      </w:tr>
      <w:tr w:rsidR="00AF6CB6" w14:paraId="2CD31119" w14:textId="77777777">
        <w:tc>
          <w:tcPr>
            <w:tcW w:w="1320" w:type="dxa"/>
          </w:tcPr>
          <w:p w14:paraId="2CD31113" w14:textId="77777777" w:rsidR="00AF6CB6" w:rsidRDefault="00C86744">
            <w:pPr>
              <w:pStyle w:val="Compact"/>
            </w:pPr>
            <w:r>
              <w:t>NEO-FFI</w:t>
            </w:r>
          </w:p>
        </w:tc>
        <w:tc>
          <w:tcPr>
            <w:tcW w:w="1320" w:type="dxa"/>
          </w:tcPr>
          <w:p w14:paraId="2CD31114" w14:textId="77777777" w:rsidR="00AF6CB6" w:rsidRDefault="00C86744">
            <w:pPr>
              <w:pStyle w:val="Compact"/>
            </w:pPr>
            <w:r>
              <w:t>1</w:t>
            </w:r>
          </w:p>
        </w:tc>
        <w:tc>
          <w:tcPr>
            <w:tcW w:w="1320" w:type="dxa"/>
          </w:tcPr>
          <w:p w14:paraId="2CD31115" w14:textId="77777777" w:rsidR="00AF6CB6" w:rsidRDefault="00C86744">
            <w:pPr>
              <w:pStyle w:val="Compact"/>
            </w:pPr>
            <w:r>
              <w:t>Neuroticism</w:t>
            </w:r>
          </w:p>
        </w:tc>
        <w:tc>
          <w:tcPr>
            <w:tcW w:w="1320" w:type="dxa"/>
          </w:tcPr>
          <w:p w14:paraId="2CD31116" w14:textId="77777777" w:rsidR="00AF6CB6" w:rsidRDefault="00C86744">
            <w:pPr>
              <w:pStyle w:val="Compact"/>
            </w:pPr>
            <w:r>
              <w:t>12</w:t>
            </w:r>
          </w:p>
        </w:tc>
        <w:tc>
          <w:tcPr>
            <w:tcW w:w="1320" w:type="dxa"/>
          </w:tcPr>
          <w:p w14:paraId="2CD31117" w14:textId="77777777" w:rsidR="00AF6CB6" w:rsidRDefault="00C86744">
            <w:pPr>
              <w:pStyle w:val="Compact"/>
            </w:pPr>
            <w:r>
              <w:t>5-point Likert scale</w:t>
            </w:r>
          </w:p>
        </w:tc>
        <w:tc>
          <w:tcPr>
            <w:tcW w:w="1320" w:type="dxa"/>
          </w:tcPr>
          <w:p w14:paraId="2CD31118" w14:textId="77777777" w:rsidR="00AF6CB6" w:rsidRDefault="00AF6CB6">
            <w:pPr>
              <w:pStyle w:val="Compact"/>
            </w:pPr>
          </w:p>
        </w:tc>
      </w:tr>
      <w:tr w:rsidR="00AF6CB6" w14:paraId="2CD31120" w14:textId="77777777">
        <w:tc>
          <w:tcPr>
            <w:tcW w:w="1320" w:type="dxa"/>
          </w:tcPr>
          <w:p w14:paraId="2CD3111A" w14:textId="77777777" w:rsidR="00AF6CB6" w:rsidRDefault="00C86744">
            <w:pPr>
              <w:pStyle w:val="Compact"/>
            </w:pPr>
            <w:r>
              <w:t>Mini IPIP6</w:t>
            </w:r>
          </w:p>
        </w:tc>
        <w:tc>
          <w:tcPr>
            <w:tcW w:w="1320" w:type="dxa"/>
          </w:tcPr>
          <w:p w14:paraId="2CD3111B" w14:textId="77777777" w:rsidR="00AF6CB6" w:rsidRDefault="00C86744">
            <w:pPr>
              <w:pStyle w:val="Compact"/>
            </w:pPr>
            <w:r>
              <w:t>6</w:t>
            </w:r>
          </w:p>
        </w:tc>
        <w:tc>
          <w:tcPr>
            <w:tcW w:w="1320" w:type="dxa"/>
          </w:tcPr>
          <w:p w14:paraId="2CD3111C" w14:textId="77777777" w:rsidR="00AF6CB6" w:rsidRDefault="00C86744">
            <w:pPr>
              <w:pStyle w:val="Compact"/>
            </w:pPr>
            <w:r>
              <w:t>Personality</w:t>
            </w:r>
          </w:p>
        </w:tc>
        <w:tc>
          <w:tcPr>
            <w:tcW w:w="1320" w:type="dxa"/>
          </w:tcPr>
          <w:p w14:paraId="2CD3111D" w14:textId="77777777" w:rsidR="00AF6CB6" w:rsidRDefault="00C86744">
            <w:pPr>
              <w:pStyle w:val="Compact"/>
            </w:pPr>
            <w:r>
              <w:t>24</w:t>
            </w:r>
          </w:p>
        </w:tc>
        <w:tc>
          <w:tcPr>
            <w:tcW w:w="1320" w:type="dxa"/>
          </w:tcPr>
          <w:p w14:paraId="2CD3111E" w14:textId="77777777" w:rsidR="00AF6CB6" w:rsidRDefault="00C86744">
            <w:pPr>
              <w:pStyle w:val="Compact"/>
            </w:pPr>
            <w:r>
              <w:t>Analogue scales</w:t>
            </w:r>
          </w:p>
        </w:tc>
        <w:tc>
          <w:tcPr>
            <w:tcW w:w="1320" w:type="dxa"/>
          </w:tcPr>
          <w:p w14:paraId="2CD3111F" w14:textId="77777777" w:rsidR="00AF6CB6" w:rsidRDefault="00AF6CB6">
            <w:pPr>
              <w:pStyle w:val="Compact"/>
            </w:pPr>
          </w:p>
        </w:tc>
      </w:tr>
      <w:tr w:rsidR="00AF6CB6" w14:paraId="2CD31127" w14:textId="77777777">
        <w:tc>
          <w:tcPr>
            <w:tcW w:w="1320" w:type="dxa"/>
          </w:tcPr>
          <w:p w14:paraId="2CD31121" w14:textId="77777777" w:rsidR="00AF6CB6" w:rsidRDefault="00C86744">
            <w:pPr>
              <w:pStyle w:val="Compact"/>
            </w:pPr>
            <w:r>
              <w:t>BFI</w:t>
            </w:r>
          </w:p>
        </w:tc>
        <w:tc>
          <w:tcPr>
            <w:tcW w:w="1320" w:type="dxa"/>
          </w:tcPr>
          <w:p w14:paraId="2CD31122" w14:textId="77777777" w:rsidR="00AF6CB6" w:rsidRDefault="00C86744">
            <w:pPr>
              <w:pStyle w:val="Compact"/>
            </w:pPr>
            <w:r>
              <w:t>5</w:t>
            </w:r>
          </w:p>
        </w:tc>
        <w:tc>
          <w:tcPr>
            <w:tcW w:w="1320" w:type="dxa"/>
          </w:tcPr>
          <w:p w14:paraId="2CD31123" w14:textId="77777777" w:rsidR="00AF6CB6" w:rsidRDefault="00C86744">
            <w:pPr>
              <w:pStyle w:val="Compact"/>
            </w:pPr>
            <w:r>
              <w:t>Personality</w:t>
            </w:r>
          </w:p>
        </w:tc>
        <w:tc>
          <w:tcPr>
            <w:tcW w:w="1320" w:type="dxa"/>
          </w:tcPr>
          <w:p w14:paraId="2CD31124" w14:textId="77777777" w:rsidR="00AF6CB6" w:rsidRDefault="00C86744">
            <w:pPr>
              <w:pStyle w:val="Compact"/>
            </w:pPr>
            <w:r>
              <w:t>44</w:t>
            </w:r>
          </w:p>
        </w:tc>
        <w:tc>
          <w:tcPr>
            <w:tcW w:w="1320" w:type="dxa"/>
          </w:tcPr>
          <w:p w14:paraId="2CD31125" w14:textId="77777777" w:rsidR="00AF6CB6" w:rsidRDefault="00C86744">
            <w:pPr>
              <w:pStyle w:val="Compact"/>
            </w:pPr>
            <w:r>
              <w:t>5-point Likert scale</w:t>
            </w:r>
          </w:p>
        </w:tc>
        <w:tc>
          <w:tcPr>
            <w:tcW w:w="1320" w:type="dxa"/>
          </w:tcPr>
          <w:p w14:paraId="2CD31126" w14:textId="77777777" w:rsidR="00AF6CB6" w:rsidRDefault="00AF6CB6">
            <w:pPr>
              <w:pStyle w:val="Compact"/>
            </w:pPr>
          </w:p>
        </w:tc>
      </w:tr>
      <w:tr w:rsidR="00AF6CB6" w14:paraId="2CD3112E" w14:textId="77777777">
        <w:tc>
          <w:tcPr>
            <w:tcW w:w="1320" w:type="dxa"/>
          </w:tcPr>
          <w:p w14:paraId="2CD31128" w14:textId="77777777" w:rsidR="00AF6CB6" w:rsidRDefault="00C86744">
            <w:pPr>
              <w:pStyle w:val="Compact"/>
            </w:pPr>
            <w:r>
              <w:t>PID-5-SF</w:t>
            </w:r>
          </w:p>
        </w:tc>
        <w:tc>
          <w:tcPr>
            <w:tcW w:w="1320" w:type="dxa"/>
          </w:tcPr>
          <w:p w14:paraId="2CD31129" w14:textId="77777777" w:rsidR="00AF6CB6" w:rsidRDefault="00C86744">
            <w:pPr>
              <w:pStyle w:val="Compact"/>
            </w:pPr>
            <w:r>
              <w:t>5</w:t>
            </w:r>
          </w:p>
        </w:tc>
        <w:tc>
          <w:tcPr>
            <w:tcW w:w="1320" w:type="dxa"/>
          </w:tcPr>
          <w:p w14:paraId="2CD3112A" w14:textId="77777777" w:rsidR="00AF6CB6" w:rsidRDefault="00C86744">
            <w:pPr>
              <w:pStyle w:val="Compact"/>
            </w:pPr>
            <w:r>
              <w:t>Dysfunctional personality traits</w:t>
            </w:r>
          </w:p>
        </w:tc>
        <w:tc>
          <w:tcPr>
            <w:tcW w:w="1320" w:type="dxa"/>
          </w:tcPr>
          <w:p w14:paraId="2CD3112B" w14:textId="77777777" w:rsidR="00AF6CB6" w:rsidRDefault="00C86744">
            <w:pPr>
              <w:pStyle w:val="Compact"/>
            </w:pPr>
            <w:r>
              <w:t>25</w:t>
            </w:r>
          </w:p>
        </w:tc>
        <w:tc>
          <w:tcPr>
            <w:tcW w:w="1320" w:type="dxa"/>
          </w:tcPr>
          <w:p w14:paraId="2CD3112C" w14:textId="77777777" w:rsidR="00AF6CB6" w:rsidRDefault="00C86744">
            <w:pPr>
              <w:pStyle w:val="Compact"/>
            </w:pPr>
            <w:r>
              <w:t>4-point Likert scale</w:t>
            </w:r>
          </w:p>
        </w:tc>
        <w:tc>
          <w:tcPr>
            <w:tcW w:w="1320" w:type="dxa"/>
          </w:tcPr>
          <w:p w14:paraId="2CD3112D" w14:textId="77777777" w:rsidR="00AF6CB6" w:rsidRDefault="00AF6CB6">
            <w:pPr>
              <w:pStyle w:val="Compact"/>
            </w:pPr>
          </w:p>
        </w:tc>
      </w:tr>
      <w:tr w:rsidR="00AF6CB6" w14:paraId="2CD31135" w14:textId="77777777">
        <w:tc>
          <w:tcPr>
            <w:tcW w:w="1320" w:type="dxa"/>
          </w:tcPr>
          <w:p w14:paraId="2CD3112F" w14:textId="77777777" w:rsidR="00AF6CB6" w:rsidRDefault="00C86744">
            <w:pPr>
              <w:pStyle w:val="Compact"/>
            </w:pPr>
            <w:r>
              <w:rPr>
                <w:b/>
                <w:bCs/>
              </w:rPr>
              <w:t>Psychopathology</w:t>
            </w:r>
          </w:p>
        </w:tc>
        <w:tc>
          <w:tcPr>
            <w:tcW w:w="1320" w:type="dxa"/>
          </w:tcPr>
          <w:p w14:paraId="2CD31130" w14:textId="77777777" w:rsidR="00AF6CB6" w:rsidRDefault="00AF6CB6">
            <w:pPr>
              <w:pStyle w:val="Compact"/>
            </w:pPr>
          </w:p>
        </w:tc>
        <w:tc>
          <w:tcPr>
            <w:tcW w:w="1320" w:type="dxa"/>
          </w:tcPr>
          <w:p w14:paraId="2CD31131" w14:textId="77777777" w:rsidR="00AF6CB6" w:rsidRDefault="00AF6CB6">
            <w:pPr>
              <w:pStyle w:val="Compact"/>
            </w:pPr>
          </w:p>
        </w:tc>
        <w:tc>
          <w:tcPr>
            <w:tcW w:w="1320" w:type="dxa"/>
          </w:tcPr>
          <w:p w14:paraId="2CD31132" w14:textId="77777777" w:rsidR="00AF6CB6" w:rsidRDefault="00AF6CB6">
            <w:pPr>
              <w:pStyle w:val="Compact"/>
            </w:pPr>
          </w:p>
        </w:tc>
        <w:tc>
          <w:tcPr>
            <w:tcW w:w="1320" w:type="dxa"/>
          </w:tcPr>
          <w:p w14:paraId="2CD31133" w14:textId="77777777" w:rsidR="00AF6CB6" w:rsidRDefault="00AF6CB6">
            <w:pPr>
              <w:pStyle w:val="Compact"/>
            </w:pPr>
          </w:p>
        </w:tc>
        <w:tc>
          <w:tcPr>
            <w:tcW w:w="1320" w:type="dxa"/>
          </w:tcPr>
          <w:p w14:paraId="2CD31134" w14:textId="77777777" w:rsidR="00AF6CB6" w:rsidRDefault="00AF6CB6">
            <w:pPr>
              <w:pStyle w:val="Compact"/>
            </w:pPr>
          </w:p>
        </w:tc>
      </w:tr>
      <w:tr w:rsidR="00AF6CB6" w14:paraId="2CD3113C" w14:textId="77777777">
        <w:tc>
          <w:tcPr>
            <w:tcW w:w="1320" w:type="dxa"/>
          </w:tcPr>
          <w:p w14:paraId="2CD31136" w14:textId="77777777" w:rsidR="00AF6CB6" w:rsidRDefault="00C86744">
            <w:pPr>
              <w:pStyle w:val="Compact"/>
            </w:pPr>
            <w:r>
              <w:t>SPQ-BRU</w:t>
            </w:r>
          </w:p>
        </w:tc>
        <w:tc>
          <w:tcPr>
            <w:tcW w:w="1320" w:type="dxa"/>
          </w:tcPr>
          <w:p w14:paraId="2CD31137" w14:textId="77777777" w:rsidR="00AF6CB6" w:rsidRDefault="00C86744">
            <w:pPr>
              <w:pStyle w:val="Compact"/>
            </w:pPr>
            <w:r>
              <w:t>4</w:t>
            </w:r>
          </w:p>
        </w:tc>
        <w:tc>
          <w:tcPr>
            <w:tcW w:w="1320" w:type="dxa"/>
          </w:tcPr>
          <w:p w14:paraId="2CD31138" w14:textId="77777777" w:rsidR="00AF6CB6" w:rsidRDefault="00C86744">
            <w:pPr>
              <w:pStyle w:val="Compact"/>
            </w:pPr>
            <w:r>
              <w:t>Schizotypy</w:t>
            </w:r>
          </w:p>
        </w:tc>
        <w:tc>
          <w:tcPr>
            <w:tcW w:w="1320" w:type="dxa"/>
          </w:tcPr>
          <w:p w14:paraId="2CD31139" w14:textId="77777777" w:rsidR="00AF6CB6" w:rsidRDefault="00C86744">
            <w:pPr>
              <w:pStyle w:val="Compact"/>
            </w:pPr>
            <w:r>
              <w:t>32</w:t>
            </w:r>
          </w:p>
        </w:tc>
        <w:tc>
          <w:tcPr>
            <w:tcW w:w="1320" w:type="dxa"/>
          </w:tcPr>
          <w:p w14:paraId="2CD3113A" w14:textId="77777777" w:rsidR="00AF6CB6" w:rsidRDefault="00C86744">
            <w:pPr>
              <w:pStyle w:val="Compact"/>
            </w:pPr>
            <w:r>
              <w:t>5-point Likert scale</w:t>
            </w:r>
          </w:p>
        </w:tc>
        <w:tc>
          <w:tcPr>
            <w:tcW w:w="1320" w:type="dxa"/>
          </w:tcPr>
          <w:p w14:paraId="2CD3113B" w14:textId="77777777" w:rsidR="00AF6CB6" w:rsidRDefault="00AF6CB6">
            <w:pPr>
              <w:pStyle w:val="Compact"/>
            </w:pPr>
          </w:p>
        </w:tc>
      </w:tr>
      <w:tr w:rsidR="00AF6CB6" w14:paraId="2CD31143" w14:textId="77777777">
        <w:tc>
          <w:tcPr>
            <w:tcW w:w="1320" w:type="dxa"/>
          </w:tcPr>
          <w:p w14:paraId="2CD3113D" w14:textId="77777777" w:rsidR="00AF6CB6" w:rsidRDefault="00C86744">
            <w:pPr>
              <w:pStyle w:val="Compact"/>
            </w:pPr>
            <w:r>
              <w:t>MSI-BPD</w:t>
            </w:r>
          </w:p>
        </w:tc>
        <w:tc>
          <w:tcPr>
            <w:tcW w:w="1320" w:type="dxa"/>
          </w:tcPr>
          <w:p w14:paraId="2CD3113E" w14:textId="77777777" w:rsidR="00AF6CB6" w:rsidRDefault="00C86744">
            <w:pPr>
              <w:pStyle w:val="Compact"/>
            </w:pPr>
            <w:r>
              <w:t>1</w:t>
            </w:r>
          </w:p>
        </w:tc>
        <w:tc>
          <w:tcPr>
            <w:tcW w:w="1320" w:type="dxa"/>
          </w:tcPr>
          <w:p w14:paraId="2CD3113F" w14:textId="77777777" w:rsidR="00AF6CB6" w:rsidRDefault="00C86744">
            <w:pPr>
              <w:pStyle w:val="Compact"/>
            </w:pPr>
            <w:r>
              <w:t>Borderline personality disorder</w:t>
            </w:r>
          </w:p>
        </w:tc>
        <w:tc>
          <w:tcPr>
            <w:tcW w:w="1320" w:type="dxa"/>
          </w:tcPr>
          <w:p w14:paraId="2CD31140" w14:textId="77777777" w:rsidR="00AF6CB6" w:rsidRDefault="00C86744">
            <w:pPr>
              <w:pStyle w:val="Compact"/>
            </w:pPr>
            <w:r>
              <w:t>10</w:t>
            </w:r>
          </w:p>
        </w:tc>
        <w:tc>
          <w:tcPr>
            <w:tcW w:w="1320" w:type="dxa"/>
          </w:tcPr>
          <w:p w14:paraId="2CD31141" w14:textId="77777777" w:rsidR="00AF6CB6" w:rsidRDefault="00C86744">
            <w:pPr>
              <w:pStyle w:val="Compact"/>
            </w:pPr>
            <w:r>
              <w:t>Analogue scales</w:t>
            </w:r>
          </w:p>
        </w:tc>
        <w:tc>
          <w:tcPr>
            <w:tcW w:w="1320" w:type="dxa"/>
          </w:tcPr>
          <w:p w14:paraId="2CD31142" w14:textId="77777777" w:rsidR="00AF6CB6" w:rsidRDefault="00AF6CB6">
            <w:pPr>
              <w:pStyle w:val="Compact"/>
            </w:pPr>
          </w:p>
        </w:tc>
      </w:tr>
      <w:tr w:rsidR="00AF6CB6" w14:paraId="2CD3114A" w14:textId="77777777">
        <w:tc>
          <w:tcPr>
            <w:tcW w:w="1320" w:type="dxa"/>
          </w:tcPr>
          <w:p w14:paraId="2CD31144" w14:textId="77777777" w:rsidR="00AF6CB6" w:rsidRDefault="00C86744">
            <w:pPr>
              <w:pStyle w:val="Compact"/>
            </w:pPr>
            <w:r>
              <w:t>ASQ - Short</w:t>
            </w:r>
          </w:p>
        </w:tc>
        <w:tc>
          <w:tcPr>
            <w:tcW w:w="1320" w:type="dxa"/>
          </w:tcPr>
          <w:p w14:paraId="2CD31145" w14:textId="77777777" w:rsidR="00AF6CB6" w:rsidRDefault="00C86744">
            <w:pPr>
              <w:pStyle w:val="Compact"/>
            </w:pPr>
            <w:r>
              <w:t>5</w:t>
            </w:r>
          </w:p>
        </w:tc>
        <w:tc>
          <w:tcPr>
            <w:tcW w:w="1320" w:type="dxa"/>
          </w:tcPr>
          <w:p w14:paraId="2CD31146" w14:textId="77777777" w:rsidR="00AF6CB6" w:rsidRDefault="00C86744">
            <w:pPr>
              <w:pStyle w:val="Compact"/>
            </w:pPr>
            <w:r>
              <w:t>Autistic Traits</w:t>
            </w:r>
          </w:p>
        </w:tc>
        <w:tc>
          <w:tcPr>
            <w:tcW w:w="1320" w:type="dxa"/>
          </w:tcPr>
          <w:p w14:paraId="2CD31147" w14:textId="77777777" w:rsidR="00AF6CB6" w:rsidRDefault="00C86744">
            <w:pPr>
              <w:pStyle w:val="Compact"/>
            </w:pPr>
            <w:r>
              <w:t>28</w:t>
            </w:r>
          </w:p>
        </w:tc>
        <w:tc>
          <w:tcPr>
            <w:tcW w:w="1320" w:type="dxa"/>
          </w:tcPr>
          <w:p w14:paraId="2CD31148" w14:textId="77777777" w:rsidR="00AF6CB6" w:rsidRDefault="00C86744">
            <w:pPr>
              <w:pStyle w:val="Compact"/>
            </w:pPr>
            <w:r>
              <w:t>4-point Likert scale</w:t>
            </w:r>
          </w:p>
        </w:tc>
        <w:tc>
          <w:tcPr>
            <w:tcW w:w="1320" w:type="dxa"/>
          </w:tcPr>
          <w:p w14:paraId="2CD31149" w14:textId="77777777" w:rsidR="00AF6CB6" w:rsidRDefault="00AF6CB6">
            <w:pPr>
              <w:pStyle w:val="Compact"/>
            </w:pPr>
          </w:p>
        </w:tc>
      </w:tr>
      <w:tr w:rsidR="00AF6CB6" w14:paraId="2CD31151" w14:textId="77777777">
        <w:tc>
          <w:tcPr>
            <w:tcW w:w="1320" w:type="dxa"/>
          </w:tcPr>
          <w:p w14:paraId="2CD3114B" w14:textId="77777777" w:rsidR="00AF6CB6" w:rsidRDefault="00C86744">
            <w:pPr>
              <w:pStyle w:val="Compact"/>
            </w:pPr>
            <w:r>
              <w:rPr>
                <w:b/>
                <w:bCs/>
              </w:rPr>
              <w:lastRenderedPageBreak/>
              <w:t>Beliefs and Misbeliefs</w:t>
            </w:r>
          </w:p>
        </w:tc>
        <w:tc>
          <w:tcPr>
            <w:tcW w:w="1320" w:type="dxa"/>
          </w:tcPr>
          <w:p w14:paraId="2CD3114C" w14:textId="77777777" w:rsidR="00AF6CB6" w:rsidRDefault="00AF6CB6">
            <w:pPr>
              <w:pStyle w:val="Compact"/>
            </w:pPr>
          </w:p>
        </w:tc>
        <w:tc>
          <w:tcPr>
            <w:tcW w:w="1320" w:type="dxa"/>
          </w:tcPr>
          <w:p w14:paraId="2CD3114D" w14:textId="77777777" w:rsidR="00AF6CB6" w:rsidRDefault="00AF6CB6">
            <w:pPr>
              <w:pStyle w:val="Compact"/>
            </w:pPr>
          </w:p>
        </w:tc>
        <w:tc>
          <w:tcPr>
            <w:tcW w:w="1320" w:type="dxa"/>
          </w:tcPr>
          <w:p w14:paraId="2CD3114E" w14:textId="77777777" w:rsidR="00AF6CB6" w:rsidRDefault="00AF6CB6">
            <w:pPr>
              <w:pStyle w:val="Compact"/>
            </w:pPr>
          </w:p>
        </w:tc>
        <w:tc>
          <w:tcPr>
            <w:tcW w:w="1320" w:type="dxa"/>
          </w:tcPr>
          <w:p w14:paraId="2CD3114F" w14:textId="77777777" w:rsidR="00AF6CB6" w:rsidRDefault="00AF6CB6">
            <w:pPr>
              <w:pStyle w:val="Compact"/>
            </w:pPr>
          </w:p>
        </w:tc>
        <w:tc>
          <w:tcPr>
            <w:tcW w:w="1320" w:type="dxa"/>
          </w:tcPr>
          <w:p w14:paraId="2CD31150" w14:textId="77777777" w:rsidR="00AF6CB6" w:rsidRDefault="00AF6CB6">
            <w:pPr>
              <w:pStyle w:val="Compact"/>
            </w:pPr>
          </w:p>
        </w:tc>
      </w:tr>
      <w:tr w:rsidR="00AF6CB6" w14:paraId="2CD31158" w14:textId="77777777">
        <w:tc>
          <w:tcPr>
            <w:tcW w:w="1320" w:type="dxa"/>
          </w:tcPr>
          <w:p w14:paraId="2CD31152" w14:textId="77777777" w:rsidR="00AF6CB6" w:rsidRDefault="00C86744">
            <w:pPr>
              <w:pStyle w:val="Compact"/>
            </w:pPr>
            <w:r>
              <w:t>GCB</w:t>
            </w:r>
          </w:p>
        </w:tc>
        <w:tc>
          <w:tcPr>
            <w:tcW w:w="1320" w:type="dxa"/>
          </w:tcPr>
          <w:p w14:paraId="2CD31153" w14:textId="77777777" w:rsidR="00AF6CB6" w:rsidRDefault="00C86744">
            <w:pPr>
              <w:pStyle w:val="Compact"/>
            </w:pPr>
            <w:r>
              <w:t>5</w:t>
            </w:r>
          </w:p>
        </w:tc>
        <w:tc>
          <w:tcPr>
            <w:tcW w:w="1320" w:type="dxa"/>
          </w:tcPr>
          <w:p w14:paraId="2CD31154" w14:textId="77777777" w:rsidR="00AF6CB6" w:rsidRDefault="00C86744">
            <w:pPr>
              <w:pStyle w:val="Compact"/>
            </w:pPr>
            <w:r>
              <w:t>Conspiracy beliefs</w:t>
            </w:r>
          </w:p>
        </w:tc>
        <w:tc>
          <w:tcPr>
            <w:tcW w:w="1320" w:type="dxa"/>
          </w:tcPr>
          <w:p w14:paraId="2CD31155" w14:textId="77777777" w:rsidR="00AF6CB6" w:rsidRDefault="00C86744">
            <w:pPr>
              <w:pStyle w:val="Compact"/>
            </w:pPr>
            <w:r>
              <w:t>15</w:t>
            </w:r>
          </w:p>
        </w:tc>
        <w:tc>
          <w:tcPr>
            <w:tcW w:w="1320" w:type="dxa"/>
          </w:tcPr>
          <w:p w14:paraId="2CD31156" w14:textId="77777777" w:rsidR="00AF6CB6" w:rsidRDefault="00C86744">
            <w:pPr>
              <w:pStyle w:val="Compact"/>
            </w:pPr>
            <w:r>
              <w:t>5-point Likert scale</w:t>
            </w:r>
          </w:p>
        </w:tc>
        <w:tc>
          <w:tcPr>
            <w:tcW w:w="1320" w:type="dxa"/>
          </w:tcPr>
          <w:p w14:paraId="2CD31157" w14:textId="77777777" w:rsidR="00AF6CB6" w:rsidRDefault="00AF6CB6">
            <w:pPr>
              <w:pStyle w:val="Compact"/>
            </w:pPr>
          </w:p>
        </w:tc>
      </w:tr>
      <w:tr w:rsidR="00AF6CB6" w14:paraId="2CD3115F" w14:textId="77777777">
        <w:tc>
          <w:tcPr>
            <w:tcW w:w="1320" w:type="dxa"/>
          </w:tcPr>
          <w:p w14:paraId="2CD31159" w14:textId="77777777" w:rsidR="00AF6CB6" w:rsidRDefault="00C86744">
            <w:pPr>
              <w:pStyle w:val="Compact"/>
            </w:pPr>
            <w:r>
              <w:t>PI-18</w:t>
            </w:r>
          </w:p>
        </w:tc>
        <w:tc>
          <w:tcPr>
            <w:tcW w:w="1320" w:type="dxa"/>
          </w:tcPr>
          <w:p w14:paraId="2CD3115A" w14:textId="77777777" w:rsidR="00AF6CB6" w:rsidRDefault="00C86744">
            <w:pPr>
              <w:pStyle w:val="Compact"/>
            </w:pPr>
            <w:r>
              <w:t>1</w:t>
            </w:r>
          </w:p>
        </w:tc>
        <w:tc>
          <w:tcPr>
            <w:tcW w:w="1320" w:type="dxa"/>
          </w:tcPr>
          <w:p w14:paraId="2CD3115B" w14:textId="77777777" w:rsidR="00AF6CB6" w:rsidRDefault="00C86744">
            <w:pPr>
              <w:pStyle w:val="Compact"/>
            </w:pPr>
            <w:r>
              <w:t>Beliefs about the world</w:t>
            </w:r>
          </w:p>
        </w:tc>
        <w:tc>
          <w:tcPr>
            <w:tcW w:w="1320" w:type="dxa"/>
          </w:tcPr>
          <w:p w14:paraId="2CD3115C" w14:textId="77777777" w:rsidR="00AF6CB6" w:rsidRDefault="00C86744">
            <w:pPr>
              <w:pStyle w:val="Compact"/>
            </w:pPr>
            <w:r>
              <w:t>99</w:t>
            </w:r>
          </w:p>
        </w:tc>
        <w:tc>
          <w:tcPr>
            <w:tcW w:w="1320" w:type="dxa"/>
          </w:tcPr>
          <w:p w14:paraId="2CD3115D" w14:textId="77777777" w:rsidR="00AF6CB6" w:rsidRDefault="00C86744">
            <w:pPr>
              <w:pStyle w:val="Compact"/>
            </w:pPr>
            <w:r>
              <w:t>6-point Likert scale</w:t>
            </w:r>
          </w:p>
        </w:tc>
        <w:tc>
          <w:tcPr>
            <w:tcW w:w="1320" w:type="dxa"/>
          </w:tcPr>
          <w:p w14:paraId="2CD3115E" w14:textId="77777777" w:rsidR="00AF6CB6" w:rsidRDefault="00AF6CB6">
            <w:pPr>
              <w:pStyle w:val="Compact"/>
            </w:pPr>
          </w:p>
        </w:tc>
      </w:tr>
      <w:tr w:rsidR="00AF6CB6" w14:paraId="2CD31166" w14:textId="77777777">
        <w:tc>
          <w:tcPr>
            <w:tcW w:w="1320" w:type="dxa"/>
          </w:tcPr>
          <w:p w14:paraId="2CD31160" w14:textId="77777777" w:rsidR="00AF6CB6" w:rsidRDefault="00C86744">
            <w:pPr>
              <w:pStyle w:val="Compact"/>
            </w:pPr>
            <w:r>
              <w:t>LIE scale</w:t>
            </w:r>
          </w:p>
        </w:tc>
        <w:tc>
          <w:tcPr>
            <w:tcW w:w="1320" w:type="dxa"/>
          </w:tcPr>
          <w:p w14:paraId="2CD31161" w14:textId="77777777" w:rsidR="00AF6CB6" w:rsidRDefault="00C86744">
            <w:pPr>
              <w:pStyle w:val="Compact"/>
            </w:pPr>
            <w:r>
              <w:t>4</w:t>
            </w:r>
          </w:p>
        </w:tc>
        <w:tc>
          <w:tcPr>
            <w:tcW w:w="1320" w:type="dxa"/>
          </w:tcPr>
          <w:p w14:paraId="2CD31162" w14:textId="77777777" w:rsidR="00AF6CB6" w:rsidRDefault="00C86744">
            <w:pPr>
              <w:pStyle w:val="Compact"/>
            </w:pPr>
            <w:r>
              <w:t>Lying tendencies</w:t>
            </w:r>
          </w:p>
        </w:tc>
        <w:tc>
          <w:tcPr>
            <w:tcW w:w="1320" w:type="dxa"/>
          </w:tcPr>
          <w:p w14:paraId="2CD31163" w14:textId="77777777" w:rsidR="00AF6CB6" w:rsidRDefault="00C86744">
            <w:pPr>
              <w:pStyle w:val="Compact"/>
            </w:pPr>
            <w:r>
              <w:t>16</w:t>
            </w:r>
          </w:p>
        </w:tc>
        <w:tc>
          <w:tcPr>
            <w:tcW w:w="1320" w:type="dxa"/>
          </w:tcPr>
          <w:p w14:paraId="2CD31164" w14:textId="77777777" w:rsidR="00AF6CB6" w:rsidRDefault="00C86744">
            <w:pPr>
              <w:pStyle w:val="Compact"/>
            </w:pPr>
            <w:r>
              <w:t>Visual analogue scales</w:t>
            </w:r>
          </w:p>
        </w:tc>
        <w:tc>
          <w:tcPr>
            <w:tcW w:w="1320" w:type="dxa"/>
          </w:tcPr>
          <w:p w14:paraId="2CD31165" w14:textId="77777777" w:rsidR="00AF6CB6" w:rsidRDefault="00AF6CB6">
            <w:pPr>
              <w:pStyle w:val="Compact"/>
            </w:pPr>
          </w:p>
        </w:tc>
      </w:tr>
    </w:tbl>
    <w:p w14:paraId="2CD31167" w14:textId="77777777" w:rsidR="00AF6CB6" w:rsidRDefault="00C86744">
      <w:pPr>
        <w:pStyle w:val="BodyText"/>
      </w:pPr>
      <w:r>
        <w:rPr>
          <w:i/>
          <w:iCs/>
        </w:rPr>
        <w:t>Note.</w:t>
      </w:r>
      <w:r>
        <w:t xml:space="preserve"> </w:t>
      </w:r>
      <w:r>
        <w:t>MAIA-2 Multidimensional Assessment of Interoceptive Awareness Version-2; BPQ Body Perception Questionnaire (Mehling et al. 2018); TAS-20 Toronto Alexithymia Scale (Bagby et al., 1994); BVAQ Bermond-Vorst Alexithymia Questionnaire (Vorst &amp; Bermond, 2001); BDI-II Beck’s Depression Inventory (Dozois et al., 1998); PHQ-4 Patient Health Questionnaire (Kroenke et al., 2009); STAI-T State-Trait-Anxiety Inventory Trait-Version (Spielberger et al. 1970); GAD- 2 Generalized Anxiety Disorder Scale – 2 (Spitzer et al.,</w:t>
      </w:r>
      <w:r>
        <w:t xml:space="preserve"> 2007); NEO-FFI NEO Five-Factor Inventory Neuroticism (Costa &amp; McCrae, 2008); Mini IPIP6 Mini International Personality Item Pool (Sibley et al. 2011); BFI Big Five Inventory (John et al., 2010); PID-5-SF Personality Inventory for DSM-5 Short Form (Thimm et al., 2016); SPQ-BRU Schizotypal Personality Questionnaire (Davidson et al., 2016); MSI-BPD Mclean Screening Instrument for Borderline Personality Disorder (Zanarini et al. 2003); ASQ Short Autism-Spectrum Quotient (Hoekstra et al. 2011); GCB Generic Cons</w:t>
      </w:r>
      <w:r>
        <w:t>piracist Beliefs scale (Brotherton et al.,  2013); PI-18 Primals Inventory (Clifton et al., 2021); LIE scale Lying Profile Questionnaire (Makowski, et al,. 2023).</w:t>
      </w:r>
    </w:p>
    <w:p w14:paraId="2CD31168" w14:textId="77777777" w:rsidR="00AF6CB6" w:rsidRDefault="00C86744">
      <w:pPr>
        <w:pStyle w:val="Heading3"/>
      </w:pPr>
      <w:bookmarkStart w:id="14" w:name="statistical-analysis-1"/>
      <w:bookmarkEnd w:id="13"/>
      <w:r>
        <w:lastRenderedPageBreak/>
        <w:t>Statistical analysis</w:t>
      </w:r>
    </w:p>
    <w:p w14:paraId="2CD31169" w14:textId="77777777" w:rsidR="00AF6CB6" w:rsidRDefault="00C86744">
      <w:pPr>
        <w:pStyle w:val="FirstParagraph"/>
      </w:pPr>
      <w:r>
        <w:t>Correlations will be computed using the correlation package under a Bayesian framework (ref).</w:t>
      </w:r>
    </w:p>
    <w:p w14:paraId="2CD3116A" w14:textId="77777777" w:rsidR="00AF6CB6" w:rsidRDefault="00C86744">
      <w:pPr>
        <w:pStyle w:val="Heading2"/>
      </w:pPr>
      <w:bookmarkStart w:id="15" w:name="results-1"/>
      <w:bookmarkEnd w:id="14"/>
      <w:bookmarkEnd w:id="12"/>
      <w:r>
        <w:t>Results</w:t>
      </w:r>
    </w:p>
    <w:p w14:paraId="2CD3116B" w14:textId="77777777" w:rsidR="00AF6CB6" w:rsidRDefault="00C86744">
      <w:pPr>
        <w:pStyle w:val="FirstParagraph"/>
      </w:pPr>
      <w:r>
        <w:t>The EGA components capture groupings of pairs of items, such as “wind” and “burp”, “cough” and “sneeze”, or “muscle” and “pain”. These groupings were used in the correlational analysis, to observe how much each group/pair correlates with other factors, such as Alexithymia, or the MAIA (see Figure 2).</w:t>
      </w:r>
    </w:p>
    <w:p w14:paraId="2CD3116C" w14:textId="77777777" w:rsidR="00AF6CB6" w:rsidRDefault="00C86744">
      <w:pPr>
        <w:pStyle w:val="BodyText"/>
      </w:pPr>
      <w:r>
        <w:t>Alexithymia is negatively correlated with all interoceptive groups. Autistic traits are mostly negatively correlated with IAS measure, except for patterns and numbers (as an autistic trait), which is significantly and positively correlated with the “itch/bruise” pairing. The BPQ Body Awareness part is positively correlated with all IAS pairs, whereas the Autonomic Reactivity part is negatively correlated with all IAS groupings. Conspiracy Beliefs were all positively correlated with the IAS pairs, however, o</w:t>
      </w:r>
      <w:r>
        <w:t>nly Global Conspiracy with “hungry/thirsty”, “urinate/defecate” and “cough/sneeze”, as well as personal wellbeing with “hungry/thirsty”, and Information Control with “cough/sneeze” were significantly positively correlated. Demographic data is also mostly positively correlated with the IAS findings, where gender and age more strongly correlated with “hungry/thirsty”. In this analysis, lying profile is not strongly correlated with the IAS; Except for contextuality, which shows a significant negative correlati</w:t>
      </w:r>
      <w:r>
        <w:t xml:space="preserve">on with “itch/bruise”. The MAIA has a strong positive correlation with most IAS pairings, except for the “not worrying” and “not distracting” items of the MAIA, which show less strong, or even negative correlations with all IAS item pairings. Maladaptiveness had mostly negative correlations with the IAS, with only a few significant correlations, namely “psychoticism”, </w:t>
      </w:r>
      <w:r>
        <w:lastRenderedPageBreak/>
        <w:t>“negative affect”, and “detachment” with “muscle/pain” and “hungry/thirsty”, as well as “negative affect” with “wind/burp”. Overall, mood was</w:t>
      </w:r>
      <w:r>
        <w:t xml:space="preserve"> mostly negatively correlated with the IAS, where “hungry/thirsty” had the strongest negative correlation of all mood measures. Except for “neuroticism” and “honesty-humility”, personality traits, such as “openness” and “extraversion” were positively correlated with the IAS groupings. Shizotypic traits were mostly negatively correlated with the IAS, with “hungry/thirsty” showing the strongest negative correlation between schizotypic and the IAS. World beliefs were mostly positively correlated with the IAS, </w:t>
      </w:r>
      <w:r>
        <w:t>however, only a few were significant: “hierarchical”, “enticing”, and “alive” correlates significantly with “muscle/pain”; “Understandable” has a significant positive correlation with “heart/breathing”; And  “hierarchical” and “alive” has a significant positive correlation with “hungry/thirsty”. </w:t>
      </w:r>
    </w:p>
    <w:p w14:paraId="2CD3116D" w14:textId="77777777" w:rsidR="00AF6CB6" w:rsidRDefault="00C86744">
      <w:pPr>
        <w:pStyle w:val="CaptionedFigure"/>
      </w:pPr>
      <w:r>
        <w:rPr>
          <w:noProof/>
        </w:rPr>
        <w:lastRenderedPageBreak/>
        <w:drawing>
          <wp:inline distT="0" distB="0" distL="0" distR="0" wp14:anchorId="2CD3119E" wp14:editId="2CD3119F">
            <wp:extent cx="5943600" cy="7920841"/>
            <wp:effectExtent l="0" t="0" r="0" b="0"/>
            <wp:docPr id="46" name="Picture" descr="Figure 2. Correlates of the IAS"/>
            <wp:cNvGraphicFramePr/>
            <a:graphic xmlns:a="http://schemas.openxmlformats.org/drawingml/2006/main">
              <a:graphicData uri="http://schemas.openxmlformats.org/drawingml/2006/picture">
                <pic:pic xmlns:pic="http://schemas.openxmlformats.org/drawingml/2006/picture">
                  <pic:nvPicPr>
                    <pic:cNvPr id="47" name="Picture" descr="figures/clipboard-1619164537.png"/>
                    <pic:cNvPicPr>
                      <a:picLocks noChangeAspect="1" noChangeArrowheads="1"/>
                    </pic:cNvPicPr>
                  </pic:nvPicPr>
                  <pic:blipFill>
                    <a:blip r:embed="rId12"/>
                    <a:stretch>
                      <a:fillRect/>
                    </a:stretch>
                  </pic:blipFill>
                  <pic:spPr bwMode="auto">
                    <a:xfrm>
                      <a:off x="0" y="0"/>
                      <a:ext cx="5943600" cy="7920841"/>
                    </a:xfrm>
                    <a:prstGeom prst="rect">
                      <a:avLst/>
                    </a:prstGeom>
                    <a:noFill/>
                    <a:ln w="9525">
                      <a:noFill/>
                      <a:headEnd/>
                      <a:tailEnd/>
                    </a:ln>
                  </pic:spPr>
                </pic:pic>
              </a:graphicData>
            </a:graphic>
          </wp:inline>
        </w:drawing>
      </w:r>
    </w:p>
    <w:p w14:paraId="2CD3116E" w14:textId="77777777" w:rsidR="00AF6CB6" w:rsidRDefault="00C86744">
      <w:pPr>
        <w:pStyle w:val="ImageCaption"/>
      </w:pPr>
      <w:r>
        <w:rPr>
          <w:b/>
          <w:bCs/>
        </w:rPr>
        <w:lastRenderedPageBreak/>
        <w:t>Figure 2.</w:t>
      </w:r>
      <w:r>
        <w:t xml:space="preserve"> Correlates of the IAS</w:t>
      </w:r>
    </w:p>
    <w:p w14:paraId="2CD3116F" w14:textId="77777777" w:rsidR="00AF6CB6" w:rsidRDefault="00C86744">
      <w:pPr>
        <w:pStyle w:val="Heading2"/>
      </w:pPr>
      <w:bookmarkStart w:id="16" w:name="discussion-1"/>
      <w:bookmarkEnd w:id="15"/>
      <w:r>
        <w:t>Discussion</w:t>
      </w:r>
    </w:p>
    <w:p w14:paraId="2CD31170" w14:textId="77777777" w:rsidR="00AF6CB6" w:rsidRDefault="00C86744">
      <w:pPr>
        <w:pStyle w:val="FirstParagraph"/>
      </w:pPr>
      <w:r>
        <w:t>Our findings confirmed that interception lies within an intricate network of correlates.  Alexithyma has the most negative correlation with the IAS, whereas, the MAIA questionnaire is most strongly positively correlated with the IAS. The correlates cannot only explain attributes of interoception, but can also be used to validate measures for interoception. </w:t>
      </w:r>
    </w:p>
    <w:p w14:paraId="2CD31171" w14:textId="77777777" w:rsidR="00AF6CB6" w:rsidRDefault="00C86744">
      <w:pPr>
        <w:pStyle w:val="BodyText"/>
      </w:pPr>
      <w:r>
        <w:t>While these results reveal correlations of different categories with the IAS, the findings are limited to the given questionnaire. However, they give a good indication of how interoception in general might be linked to the different categories, leading to interesting findings. The results show a consistent pattern of correlations with other interoception measures, psychopathology, and highlighting of interesting exploratory results, such as how primal world beliefs correlate with the IAS. </w:t>
      </w:r>
    </w:p>
    <w:p w14:paraId="2CD31172" w14:textId="77777777" w:rsidR="00AF6CB6" w:rsidRDefault="00C86744">
      <w:pPr>
        <w:pStyle w:val="BodyText"/>
      </w:pPr>
      <w:r>
        <w:t>The analysis revealed a negative correlation between alexithymia and scores in the IAS, which is in line with previous research (</w:t>
      </w:r>
      <w:hyperlink w:anchor="ref-herbert2011">
        <w:r>
          <w:rPr>
            <w:rStyle w:val="Hyperlink"/>
          </w:rPr>
          <w:t>Herbert et al., 2011</w:t>
        </w:r>
      </w:hyperlink>
      <w:r>
        <w:t>). A negative correlation between autism and interoceptive awareness, which has been found in this sample, has also been found in previous research (</w:t>
      </w:r>
      <w:hyperlink w:anchor="ref-dubois2016">
        <w:r>
          <w:rPr>
            <w:rStyle w:val="Hyperlink"/>
          </w:rPr>
          <w:t>DuBois et al., 2016</w:t>
        </w:r>
      </w:hyperlink>
      <w:r>
        <w:t>). Conspiracy Beliefs and IAS scores were not strongly correlated. However, there was a slight positive correlation. To the best of our knowledge, this interaction has not been investigated before. However, research shows correlations between (political) beliefs and interoception, which could underlie the same mechanism (</w:t>
      </w:r>
      <w:hyperlink w:anchor="ref-ruisch2022">
        <w:r>
          <w:rPr>
            <w:rStyle w:val="Hyperlink"/>
          </w:rPr>
          <w:t>Ruisch et al., 2022a</w:t>
        </w:r>
      </w:hyperlink>
      <w:r>
        <w:t>). Lying profile was also not strongly correlated with the IAS. Previous research provides some evidence for a relationshipbetween interoception and lying profile (</w:t>
      </w:r>
      <w:hyperlink w:anchor="ref-makowski2023a">
        <w:r>
          <w:rPr>
            <w:rStyle w:val="Hyperlink"/>
          </w:rPr>
          <w:t>Makowski et al., 2023</w:t>
        </w:r>
      </w:hyperlink>
      <w:r>
        <w:t xml:space="preserve">), indicating a contrast from the literature to the results at hand. The analysis showed that mood and the IAS scores have a strong negative correlation, which has been investigated in previous </w:t>
      </w:r>
      <w:r>
        <w:lastRenderedPageBreak/>
        <w:t>studies, finding a correlation between the two variables as well (</w:t>
      </w:r>
      <w:hyperlink w:anchor="ref-solanolópez2018">
        <w:r>
          <w:rPr>
            <w:rStyle w:val="Hyperlink"/>
          </w:rPr>
          <w:t>Solano López &amp; Moore, 2018</w:t>
        </w:r>
      </w:hyperlink>
      <w:r>
        <w:t>). The analysis showed that personality is also correlated with interoceptive accuracy scores as retrieved by the IAS. While there are many aspects of personality, put simply, personality and interoception have been found to correlate in previous studies as well (</w:t>
      </w:r>
      <w:hyperlink w:anchor="ref-erle2021">
        <w:r>
          <w:rPr>
            <w:rStyle w:val="Hyperlink"/>
          </w:rPr>
          <w:t>Erle et al., 2021</w:t>
        </w:r>
      </w:hyperlink>
      <w:r>
        <w:t>). Our findings show some negative correlations between schizotypy and interoception. Previous research has investigated this relationship and, similarly, found a negative correlation between interoceptive awareness and schizotypy, particularly at the onset of psychosis (</w:t>
      </w:r>
      <w:hyperlink w:anchor="ref-torregrossa2022">
        <w:r>
          <w:rPr>
            <w:rStyle w:val="Hyperlink"/>
          </w:rPr>
          <w:t>Torregrossa et al., 2022</w:t>
        </w:r>
      </w:hyperlink>
      <w:r>
        <w:t>). Lastly, World Beliefs and Interoception showed some significant positive correlations. World Beliefs have not been linked with interoception previously. As mentioned, other beliefs, such as political beliefs have been mentioned to interoception, where significant correlations were observed (</w:t>
      </w:r>
      <w:hyperlink w:anchor="ref-ruisch2022a">
        <w:r>
          <w:rPr>
            <w:rStyle w:val="Hyperlink"/>
          </w:rPr>
          <w:t>Ruisch et al., 2022b</w:t>
        </w:r>
      </w:hyperlink>
      <w:r>
        <w:t>). Further research is needed to understand this mechanism and validate whether world beliefs, which lay the framework through which we see the world (</w:t>
      </w:r>
      <w:hyperlink w:anchor="ref-clifton2020">
        <w:r>
          <w:rPr>
            <w:rStyle w:val="Hyperlink"/>
          </w:rPr>
          <w:t>Clifton, 2020</w:t>
        </w:r>
      </w:hyperlink>
      <w:r>
        <w:t>), is needed.</w:t>
      </w:r>
    </w:p>
    <w:p w14:paraId="2CD31173" w14:textId="77777777" w:rsidR="00AF6CB6" w:rsidRDefault="00C86744">
      <w:pPr>
        <w:pStyle w:val="BodyText"/>
      </w:pPr>
      <w:r>
        <w:t>The above findings show how interoception is correlated with many lifestyle and health factors, and is therefore an important concept to study. Here we showed many correlates of the IAS and lifestyle, as well as health factors. This is not only valuable to understand interception, and the role it plays in our lives, better, but also crucial to further validate the Ias, as well as other interoception measures. This analysis therefore lays the groundwork for validating new interoceptive measures and questionn</w:t>
      </w:r>
      <w:r>
        <w:t>aires needed to grasp interoception and its role in our life. </w:t>
      </w:r>
    </w:p>
    <w:p w14:paraId="2CD31174" w14:textId="77777777" w:rsidR="00AF6CB6" w:rsidRDefault="00C86744">
      <w:pPr>
        <w:pStyle w:val="Heading2"/>
      </w:pPr>
      <w:bookmarkStart w:id="17" w:name="general-discussion"/>
      <w:bookmarkEnd w:id="16"/>
      <w:r>
        <w:t>General Discussion</w:t>
      </w:r>
    </w:p>
    <w:p w14:paraId="2CD31175" w14:textId="77777777" w:rsidR="00AF6CB6" w:rsidRDefault="00C86744">
      <w:pPr>
        <w:pStyle w:val="FirstParagraph"/>
      </w:pPr>
      <w:r>
        <w:t xml:space="preserve">The analyses revealed that the IAS has 4-factor structure, and a rather uneven distribution. The findings indicate that the IAS is measuring interoception in an acceptable manner, but there is also room for improvement. Furthermore, the results reveal different </w:t>
      </w:r>
      <w:r>
        <w:lastRenderedPageBreak/>
        <w:t>correlation measures with the IAS, giving space to further explore whether and how measures correlate with interoception/the IAS. In the following section, the IAS is discussed further to reveal shortcomings and strengths of the questionnaire. Finally, future steps will be revealed to improve the way in which we measure interoception. </w:t>
      </w:r>
    </w:p>
    <w:p w14:paraId="2CD31176" w14:textId="77777777" w:rsidR="00AF6CB6" w:rsidRDefault="00C86744">
      <w:pPr>
        <w:pStyle w:val="BodyText"/>
      </w:pPr>
      <w:r>
        <w:t>Overall, the IAS is straightforward with its sensation-centered items. There are several points of improvement to the IAS, which this work suggests. Firstly, removing redundant items, such as the itch item as shown in the above analysis. Previous work has also shown that the itch and tickle items are subject to redundancy Campos et al. (</w:t>
      </w:r>
      <w:hyperlink w:anchor="ref-campos2021">
        <w:r>
          <w:rPr>
            <w:rStyle w:val="Hyperlink"/>
          </w:rPr>
          <w:t>2021</w:t>
        </w:r>
      </w:hyperlink>
      <w:r>
        <w:t>) has shown. Interestingly, Campos et al. (</w:t>
      </w:r>
      <w:hyperlink w:anchor="ref-campos2021">
        <w:r>
          <w:rPr>
            <w:rStyle w:val="Hyperlink"/>
          </w:rPr>
          <w:t>2021</w:t>
        </w:r>
      </w:hyperlink>
      <w:r>
        <w:t>) suggest removin the tickle item instead. Lin et al. (</w:t>
      </w:r>
      <w:hyperlink w:anchor="ref-lin2023">
        <w:r>
          <w:rPr>
            <w:rStyle w:val="Hyperlink"/>
          </w:rPr>
          <w:t>2023</w:t>
        </w:r>
      </w:hyperlink>
      <w:r>
        <w:t xml:space="preserve">) on the other hand removed the itch item, because the sign for itch and tickle is the same.  </w:t>
      </w:r>
      <w:r>
        <w:t>Furthermore,  this work recommends using analog scales, instead of 5 point scales. In a 5-point scale, the variability is clearly limited with most people choosing ⅘. As visible in Figure X, the variability increases significantly, using an analog scale. However, it is important to note that even with an analog scale, the variability of the IAS is still limited. The more variability a scale shows, the more results can depict individual differences between participants. Therefore, good dispersion is essentia</w:t>
      </w:r>
      <w:r>
        <w:t>l for achieving relevant and usable results, and striving for more variability would be beneficial to this interoception scale, too. </w:t>
      </w:r>
    </w:p>
    <w:p w14:paraId="2CD31177" w14:textId="77777777" w:rsidR="00AF6CB6" w:rsidRDefault="00C86744">
      <w:pPr>
        <w:pStyle w:val="BodyText"/>
      </w:pPr>
      <w:r>
        <w:t>In this work, it becomes apparent that even with the mentioned improvements to the scale, there are limitations to the IAS, which reduce the accuracy of this scale. Those limitations include that there are few items for some modalities, such as only one item for heart perception. Having more modality is useful as each grouping can have more variability with increased modality, leading to more nuanced results. On top of that, there is no clear and theoretical, or empirical structure, as there is a very small</w:t>
      </w:r>
      <w:r>
        <w:t xml:space="preserve"> grouping of items. Ideally, a scale would allow for an </w:t>
      </w:r>
      <w:r>
        <w:lastRenderedPageBreak/>
        <w:t>analysis showing different groupings so that different categories can be created based on which the data can be analyzed. The groupings in this analysis reveal that the IAS can only be grouped with two items per group, leading to low scores and variability in each group. On top of that, there are ambiguous items in the IAS, of which the grouping depends on the context. For example, one might indicate that they can perceive well how their heart is beati</w:t>
      </w:r>
      <w:r>
        <w:t>ng fast as well as vomiting, but both items can be linked to feeling anxious, and therefore might indicate different results than initially expected. Therefore, the grouping and structure of the IAS can be improved. </w:t>
      </w:r>
    </w:p>
    <w:p w14:paraId="2CD31178" w14:textId="77777777" w:rsidR="00AF6CB6" w:rsidRDefault="00C86744">
      <w:pPr>
        <w:pStyle w:val="BodyText"/>
      </w:pPr>
      <w:r>
        <w:t>Furthermore, all items are phrased positively, which might influence how participants answer the questions. While phrasing items in a positive manner can be beneficial, the benefits of positive phrasing might exacerbate a positive bias and thus lead to unidimensional results. Therefore, phrasing questions in a more diverse manner might lead to more accurate results and might thus be beneficial. </w:t>
      </w:r>
    </w:p>
    <w:p w14:paraId="2CD31179" w14:textId="77777777" w:rsidR="00AF6CB6" w:rsidRDefault="00C86744">
      <w:pPr>
        <w:pStyle w:val="BodyText"/>
      </w:pPr>
      <w:r>
        <w:t xml:space="preserve">Based on the given arguments, it becomes clear that there is a need for context-specific items, which are cross-modal when possible, such as integrating cardioception and respiroception. After establishing the clear need for a new scale to measure interoception, this study proposes the need for a new scale (Multimodal Interoceptive Sensitivity Scale, MISS) to adapt to the newest findings on the IAS and what we know about interoception to this day. The new scale will be able to be compared to the correlates </w:t>
      </w:r>
      <w:r>
        <w:t>of the IAS. </w:t>
      </w:r>
    </w:p>
    <w:p w14:paraId="2CD3117A" w14:textId="77777777" w:rsidR="00AF6CB6" w:rsidRDefault="00C86744">
      <w:pPr>
        <w:pStyle w:val="Heading2"/>
      </w:pPr>
      <w:bookmarkStart w:id="18" w:name="conclusion"/>
      <w:bookmarkEnd w:id="17"/>
      <w:r>
        <w:t>Conclusion</w:t>
      </w:r>
    </w:p>
    <w:p w14:paraId="2CD3117B" w14:textId="77777777" w:rsidR="00AF6CB6" w:rsidRDefault="00C86744">
      <w:pPr>
        <w:pStyle w:val="FirstParagraph"/>
      </w:pPr>
      <w:r>
        <w:t xml:space="preserve">The IAS is a good way of measuring interoception considering the current existing questionnaires and tools. However, revising, or even re-inventing a survey to measure interoception would lead to the best measure of interoception. Therefore, this study proposes that </w:t>
      </w:r>
      <w:r>
        <w:lastRenderedPageBreak/>
        <w:t>a new scale to measure interoception is needed to evolve the current research on interoception. This study revealed many correlates of the IAS, giving space for future analysis on what might be a good interoceptive measure, and therefore laying the groundwork for the creation of a new interoception survey. </w:t>
      </w:r>
    </w:p>
    <w:p w14:paraId="2CD3117C" w14:textId="77777777" w:rsidR="00AF6CB6" w:rsidRDefault="00C86744">
      <w:pPr>
        <w:pStyle w:val="Heading1"/>
      </w:pPr>
      <w:bookmarkStart w:id="19" w:name="references"/>
      <w:bookmarkEnd w:id="18"/>
      <w:bookmarkEnd w:id="9"/>
      <w:r>
        <w:t>References</w:t>
      </w:r>
    </w:p>
    <w:p w14:paraId="2CD3117D" w14:textId="77777777" w:rsidR="00AF6CB6" w:rsidRDefault="00C86744">
      <w:pPr>
        <w:pStyle w:val="Bibliography"/>
      </w:pPr>
      <w:bookmarkStart w:id="20" w:name="ref-arslanova2022"/>
      <w:bookmarkStart w:id="21" w:name="refs"/>
      <w:r>
        <w:t xml:space="preserve">Arslanova, I., Galvez-Pol, A., Kilner, J., Finotti, G., &amp; Tsakiris, M. (2022). Seeing through each other’s hearts: Inferring others’ heart rate as a function of own heart rate perception and perceived social intelligence. </w:t>
      </w:r>
      <w:r>
        <w:rPr>
          <w:i/>
          <w:iCs/>
        </w:rPr>
        <w:t>Affective Science</w:t>
      </w:r>
      <w:r>
        <w:t xml:space="preserve">, </w:t>
      </w:r>
      <w:r>
        <w:rPr>
          <w:i/>
          <w:iCs/>
        </w:rPr>
        <w:t>3</w:t>
      </w:r>
      <w:r>
        <w:t>(4), 862–877.</w:t>
      </w:r>
    </w:p>
    <w:p w14:paraId="2CD3117E" w14:textId="77777777" w:rsidR="00AF6CB6" w:rsidRDefault="00C86744">
      <w:pPr>
        <w:pStyle w:val="Bibliography"/>
      </w:pPr>
      <w:bookmarkStart w:id="22" w:name="ref-brand2023"/>
      <w:bookmarkEnd w:id="20"/>
      <w:r>
        <w:t xml:space="preserve">Brand, S., Meis, A. C., Tünte, M. R., Murphy, J., Woller, J. P., Jungmann, S. M., Witthöft, M., Hoehl, S., Weymar, M., Hermann, C., &amp; Ventura-Bort, C. (2023). A multi-site German validation of the Interoceptive Accuracy Scale and its relation to psychopathological symptom burden. </w:t>
      </w:r>
      <w:r>
        <w:rPr>
          <w:i/>
          <w:iCs/>
        </w:rPr>
        <w:t>Communications Psychology</w:t>
      </w:r>
      <w:r>
        <w:t xml:space="preserve">, </w:t>
      </w:r>
      <w:r>
        <w:rPr>
          <w:i/>
          <w:iCs/>
        </w:rPr>
        <w:t>1</w:t>
      </w:r>
      <w:r>
        <w:t xml:space="preserve">(1). </w:t>
      </w:r>
      <w:hyperlink r:id="rId13">
        <w:r>
          <w:rPr>
            <w:rStyle w:val="Hyperlink"/>
          </w:rPr>
          <w:t>https://doi.org/10.1038/s44271-023-00016-x</w:t>
        </w:r>
      </w:hyperlink>
    </w:p>
    <w:p w14:paraId="2CD3117F" w14:textId="77777777" w:rsidR="00AF6CB6" w:rsidRDefault="00C86744">
      <w:pPr>
        <w:pStyle w:val="Bibliography"/>
      </w:pPr>
      <w:bookmarkStart w:id="23" w:name="ref-brand2022"/>
      <w:bookmarkEnd w:id="22"/>
      <w:r>
        <w:t xml:space="preserve">Brand, S., Petzke, T. M., &amp; Witthöft, M. (2022). The differential relationship between self-reported interoceptive accuracy and attention with psychopathology. </w:t>
      </w:r>
      <w:r>
        <w:rPr>
          <w:i/>
          <w:iCs/>
        </w:rPr>
        <w:t>Zeitschrift für Klinische Psychologie Und Psychotherapie</w:t>
      </w:r>
      <w:r>
        <w:t>.</w:t>
      </w:r>
    </w:p>
    <w:p w14:paraId="2CD31180" w14:textId="77777777" w:rsidR="00AF6CB6" w:rsidRDefault="00C86744">
      <w:pPr>
        <w:pStyle w:val="Bibliography"/>
      </w:pPr>
      <w:bookmarkStart w:id="24" w:name="ref-campos2021"/>
      <w:bookmarkEnd w:id="23"/>
      <w:r>
        <w:t xml:space="preserve">Campos, C., Rocha, N. B., &amp; Barbosa, F. (2021). </w:t>
      </w:r>
      <w:r>
        <w:rPr>
          <w:i/>
          <w:iCs/>
        </w:rPr>
        <w:t>Untangling self-reported interoceptive attention and accuracy: Evidence from the european portuguese validation of the body perception questionnaire and the interoceptive accuracy scale</w:t>
      </w:r>
      <w:r>
        <w:t xml:space="preserve">. </w:t>
      </w:r>
      <w:hyperlink r:id="rId14">
        <w:r>
          <w:rPr>
            <w:rStyle w:val="Hyperlink"/>
          </w:rPr>
          <w:t>http://dx.doi.org/10.31234/osf.io/a7wdj</w:t>
        </w:r>
      </w:hyperlink>
    </w:p>
    <w:p w14:paraId="2CD31181" w14:textId="77777777" w:rsidR="00AF6CB6" w:rsidRDefault="00C86744">
      <w:pPr>
        <w:pStyle w:val="Bibliography"/>
      </w:pPr>
      <w:bookmarkStart w:id="25" w:name="ref-christensen2021"/>
      <w:bookmarkEnd w:id="24"/>
      <w:r>
        <w:t xml:space="preserve">Christensen, A. P., &amp; Golino, H. (2021). Estimating the Stability of Psychological Dimensions via Bootstrap Exploratory Graph Analysis: A Monte Carlo Simulation and Tutorial. </w:t>
      </w:r>
      <w:r>
        <w:rPr>
          <w:i/>
          <w:iCs/>
        </w:rPr>
        <w:t>Psych</w:t>
      </w:r>
      <w:r>
        <w:t xml:space="preserve">, </w:t>
      </w:r>
      <w:r>
        <w:rPr>
          <w:i/>
          <w:iCs/>
        </w:rPr>
        <w:t>3</w:t>
      </w:r>
      <w:r>
        <w:t xml:space="preserve">(3), 479–500. </w:t>
      </w:r>
      <w:hyperlink r:id="rId15">
        <w:r>
          <w:rPr>
            <w:rStyle w:val="Hyperlink"/>
          </w:rPr>
          <w:t>https://doi.org/10.3390/psych3030032</w:t>
        </w:r>
      </w:hyperlink>
    </w:p>
    <w:p w14:paraId="2CD31182" w14:textId="77777777" w:rsidR="00AF6CB6" w:rsidRDefault="00C86744">
      <w:pPr>
        <w:pStyle w:val="Bibliography"/>
      </w:pPr>
      <w:bookmarkStart w:id="26" w:name="ref-clifton2020"/>
      <w:bookmarkEnd w:id="25"/>
      <w:r>
        <w:lastRenderedPageBreak/>
        <w:t xml:space="preserve">Clifton, J. D. W. (2020). Testing if primal world beliefs reflect experiencesor at least some experiences identified ad hoc. </w:t>
      </w:r>
      <w:r>
        <w:rPr>
          <w:i/>
          <w:iCs/>
        </w:rPr>
        <w:t>Frontiers in Psychology</w:t>
      </w:r>
      <w:r>
        <w:t xml:space="preserve">, </w:t>
      </w:r>
      <w:r>
        <w:rPr>
          <w:i/>
          <w:iCs/>
        </w:rPr>
        <w:t>11</w:t>
      </w:r>
      <w:r>
        <w:t xml:space="preserve">. </w:t>
      </w:r>
      <w:hyperlink r:id="rId16">
        <w:r>
          <w:rPr>
            <w:rStyle w:val="Hyperlink"/>
          </w:rPr>
          <w:t>https://doi.org/10.3389/fpsyg.2020.01145</w:t>
        </w:r>
      </w:hyperlink>
    </w:p>
    <w:p w14:paraId="2CD31183" w14:textId="77777777" w:rsidR="00AF6CB6" w:rsidRDefault="00C86744">
      <w:pPr>
        <w:pStyle w:val="Bibliography"/>
      </w:pPr>
      <w:bookmarkStart w:id="27" w:name="ref-dubois2016"/>
      <w:bookmarkEnd w:id="26"/>
      <w:r>
        <w:t xml:space="preserve">DuBois, D., Ameis, S. H., Lai, M.-C., Casanova, M. F., &amp; Desarkar, P. (2016). Interoception in Autism Spectrum Disorder: A review. </w:t>
      </w:r>
      <w:r>
        <w:rPr>
          <w:i/>
          <w:iCs/>
        </w:rPr>
        <w:t>International Journal of Developmental Neuroscience</w:t>
      </w:r>
      <w:r>
        <w:t xml:space="preserve">, </w:t>
      </w:r>
      <w:r>
        <w:rPr>
          <w:i/>
          <w:iCs/>
        </w:rPr>
        <w:t>52</w:t>
      </w:r>
      <w:r>
        <w:t xml:space="preserve">(1), 104–111. </w:t>
      </w:r>
      <w:hyperlink r:id="rId17">
        <w:r>
          <w:rPr>
            <w:rStyle w:val="Hyperlink"/>
          </w:rPr>
          <w:t>https://doi.org/10.1016/j.ijdevneu.2016.05.001</w:t>
        </w:r>
      </w:hyperlink>
    </w:p>
    <w:p w14:paraId="2CD31184" w14:textId="77777777" w:rsidR="00AF6CB6" w:rsidRDefault="00C86744">
      <w:pPr>
        <w:pStyle w:val="Bibliography"/>
      </w:pPr>
      <w:bookmarkStart w:id="28" w:name="ref-erle2021"/>
      <w:bookmarkEnd w:id="27"/>
      <w:r>
        <w:t xml:space="preserve">Erle, T. M., Mitschke, V., &amp; Schultchen, D. (2021). Did my heart just leap or sink? The role of personality for the relation between cardiac interoception and well-being. </w:t>
      </w:r>
      <w:r>
        <w:rPr>
          <w:i/>
          <w:iCs/>
        </w:rPr>
        <w:t>Personality and Individual Differences</w:t>
      </w:r>
      <w:r>
        <w:t xml:space="preserve">, </w:t>
      </w:r>
      <w:r>
        <w:rPr>
          <w:i/>
          <w:iCs/>
        </w:rPr>
        <w:t>170</w:t>
      </w:r>
      <w:r>
        <w:t xml:space="preserve">, 110493. </w:t>
      </w:r>
      <w:hyperlink r:id="rId18">
        <w:r>
          <w:rPr>
            <w:rStyle w:val="Hyperlink"/>
          </w:rPr>
          <w:t>https://doi.org/10.1016/j.paid.2020.110493</w:t>
        </w:r>
      </w:hyperlink>
    </w:p>
    <w:p w14:paraId="2CD31185" w14:textId="77777777" w:rsidR="00AF6CB6" w:rsidRDefault="00C86744">
      <w:pPr>
        <w:pStyle w:val="Bibliography"/>
      </w:pPr>
      <w:bookmarkStart w:id="29" w:name="ref-gaggero2021"/>
      <w:bookmarkEnd w:id="28"/>
      <w:r>
        <w:t xml:space="preserve">Gaggero, G., Bizzego, A., Dellantonio, S., Pastore, L., Lim, M., &amp; Esposito, G. (2021). Clarifying the relationship between alexithymia and subjective interoception. </w:t>
      </w:r>
      <w:r>
        <w:rPr>
          <w:i/>
          <w:iCs/>
        </w:rPr>
        <w:t>PLoS One</w:t>
      </w:r>
      <w:r>
        <w:t xml:space="preserve">, </w:t>
      </w:r>
      <w:r>
        <w:rPr>
          <w:i/>
          <w:iCs/>
        </w:rPr>
        <w:t>16</w:t>
      </w:r>
      <w:r>
        <w:t>(12), e0261126.</w:t>
      </w:r>
    </w:p>
    <w:p w14:paraId="2CD31186" w14:textId="77777777" w:rsidR="00AF6CB6" w:rsidRDefault="00C86744">
      <w:pPr>
        <w:pStyle w:val="Bibliography"/>
      </w:pPr>
      <w:bookmarkStart w:id="30" w:name="ref-herbert2011"/>
      <w:bookmarkEnd w:id="29"/>
      <w:r>
        <w:t xml:space="preserve">Herbert, B. M., Herbert, C., &amp; Pollatos, O. (2011). On the Relationship Between Interoceptive Awareness and Alexithymia: Is Interoceptive Awareness Related to Emotional Awareness? </w:t>
      </w:r>
      <w:r>
        <w:rPr>
          <w:i/>
          <w:iCs/>
        </w:rPr>
        <w:t>Journal of Personality</w:t>
      </w:r>
      <w:r>
        <w:t xml:space="preserve">, </w:t>
      </w:r>
      <w:r>
        <w:rPr>
          <w:i/>
          <w:iCs/>
        </w:rPr>
        <w:t>79</w:t>
      </w:r>
      <w:r>
        <w:t xml:space="preserve">(5), 1149–1175. </w:t>
      </w:r>
      <w:hyperlink r:id="rId19">
        <w:r>
          <w:rPr>
            <w:rStyle w:val="Hyperlink"/>
          </w:rPr>
          <w:t>https://doi.org/10.1111/j.1467-6494.2011.00717.x</w:t>
        </w:r>
      </w:hyperlink>
    </w:p>
    <w:p w14:paraId="2CD31187" w14:textId="77777777" w:rsidR="00AF6CB6" w:rsidRDefault="00C86744">
      <w:pPr>
        <w:pStyle w:val="Bibliography"/>
      </w:pPr>
      <w:bookmarkStart w:id="31" w:name="ref-jahedi2014"/>
      <w:bookmarkEnd w:id="30"/>
      <w:r>
        <w:t xml:space="preserve">Jahedi, S., &amp; Méndez, F. (2014). On the advantages and disadvantages of subjective measures. </w:t>
      </w:r>
      <w:r>
        <w:rPr>
          <w:i/>
          <w:iCs/>
        </w:rPr>
        <w:t>Journal of Economic Behavior &amp; Organization</w:t>
      </w:r>
      <w:r>
        <w:t xml:space="preserve">, </w:t>
      </w:r>
      <w:r>
        <w:rPr>
          <w:i/>
          <w:iCs/>
        </w:rPr>
        <w:t>98</w:t>
      </w:r>
      <w:r>
        <w:t xml:space="preserve">, 97–114. </w:t>
      </w:r>
      <w:hyperlink r:id="rId20">
        <w:r>
          <w:rPr>
            <w:rStyle w:val="Hyperlink"/>
          </w:rPr>
          <w:t>https://doi.org/10.1016/j.jebo.2013.12.016</w:t>
        </w:r>
      </w:hyperlink>
    </w:p>
    <w:p w14:paraId="2CD31188" w14:textId="77777777" w:rsidR="00AF6CB6" w:rsidRDefault="00C86744">
      <w:pPr>
        <w:pStyle w:val="Bibliography"/>
      </w:pPr>
      <w:bookmarkStart w:id="32" w:name="ref-khalsa2018"/>
      <w:bookmarkEnd w:id="31"/>
      <w:r>
        <w:t xml:space="preserve">Khalsa, S. S., Adolphs, R., Cameron, O. G., Critchley, H. D., Davenport, P. W., Feinstein, J. S., Feusner, J. D., Garfinkel, S. N., Lane, R. D., Mehling, W. E., Meuret, A. E., Nemeroff, C. B., Oppenheimer, S., Petzschner, F. H., Pollatos, O., Rhudy, J. L., Schramm, L. P., Simmons, W. K., Stein, M. B., … Zucker, N. (2018). Interoception and Mental Health: A </w:t>
      </w:r>
      <w:r>
        <w:lastRenderedPageBreak/>
        <w:t xml:space="preserve">Roadmap. </w:t>
      </w:r>
      <w:r>
        <w:rPr>
          <w:i/>
          <w:iCs/>
        </w:rPr>
        <w:t>Biological Psychiatry: Cognitive Neuroscience and Neuroimaging</w:t>
      </w:r>
      <w:r>
        <w:t xml:space="preserve">, </w:t>
      </w:r>
      <w:r>
        <w:rPr>
          <w:i/>
          <w:iCs/>
        </w:rPr>
        <w:t>3</w:t>
      </w:r>
      <w:r>
        <w:t xml:space="preserve">(6), 501–513. </w:t>
      </w:r>
      <w:hyperlink r:id="rId21">
        <w:r>
          <w:rPr>
            <w:rStyle w:val="Hyperlink"/>
          </w:rPr>
          <w:t>https://doi.org/10.1016/j.bpsc.2017.12.004</w:t>
        </w:r>
      </w:hyperlink>
    </w:p>
    <w:p w14:paraId="2CD31189" w14:textId="77777777" w:rsidR="00AF6CB6" w:rsidRDefault="00C86744">
      <w:pPr>
        <w:pStyle w:val="Bibliography"/>
      </w:pPr>
      <w:bookmarkStart w:id="33" w:name="ref-koike2023"/>
      <w:bookmarkEnd w:id="32"/>
      <w:r>
        <w:t xml:space="preserve">Koike, H., &amp; Nomura, M. (2023). Development and validation of japanese versions of the interoceptive accuracy scale and interoceptive attention scale. </w:t>
      </w:r>
      <w:r>
        <w:rPr>
          <w:i/>
          <w:iCs/>
        </w:rPr>
        <w:t>SAGE Open</w:t>
      </w:r>
      <w:r>
        <w:t xml:space="preserve">, </w:t>
      </w:r>
      <w:r>
        <w:rPr>
          <w:i/>
          <w:iCs/>
        </w:rPr>
        <w:t>13</w:t>
      </w:r>
      <w:r>
        <w:t>(4), 21582440231214639.</w:t>
      </w:r>
    </w:p>
    <w:p w14:paraId="2CD3118A" w14:textId="77777777" w:rsidR="00AF6CB6" w:rsidRDefault="00C86744">
      <w:pPr>
        <w:pStyle w:val="Bibliography"/>
      </w:pPr>
      <w:bookmarkStart w:id="34" w:name="ref-lin2023"/>
      <w:bookmarkEnd w:id="33"/>
      <w:r>
        <w:t xml:space="preserve">Lin, X.-X., Shen, H.-R., Lin, J.-X., Zhang, Y.-H., Murphy, J., Wang, Y.-Z., Sun, Y.-B., Wang, N., Wang, J.-Y., Wei, G.-X., &amp; Luo, F. (2023). Psychometric validation and refinement of the Chinese Interoceptive Accuracy Scale (IAS) in general population and patients with chronic pain. </w:t>
      </w:r>
      <w:r>
        <w:rPr>
          <w:i/>
          <w:iCs/>
        </w:rPr>
        <w:t>Journal of Psychosomatic Research</w:t>
      </w:r>
      <w:r>
        <w:t xml:space="preserve">, </w:t>
      </w:r>
      <w:r>
        <w:rPr>
          <w:i/>
          <w:iCs/>
        </w:rPr>
        <w:t>175</w:t>
      </w:r>
      <w:r>
        <w:t xml:space="preserve">, 111541. </w:t>
      </w:r>
      <w:hyperlink r:id="rId22">
        <w:r>
          <w:rPr>
            <w:rStyle w:val="Hyperlink"/>
          </w:rPr>
          <w:t>https://doi.org/10.1016/j.jpsychores.2023.111541</w:t>
        </w:r>
      </w:hyperlink>
    </w:p>
    <w:p w14:paraId="2CD3118B" w14:textId="77777777" w:rsidR="00AF6CB6" w:rsidRDefault="00C86744">
      <w:pPr>
        <w:pStyle w:val="Bibliography"/>
      </w:pPr>
      <w:bookmarkStart w:id="35" w:name="ref-makowski2023a"/>
      <w:bookmarkEnd w:id="34"/>
      <w:r>
        <w:t xml:space="preserve">Makowski, D., Lau, Z. J., Pham, T., Te, A., Kirk, S., &amp; Liauw Yong Tong, C. (2023). </w:t>
      </w:r>
      <w:r>
        <w:rPr>
          <w:i/>
          <w:iCs/>
        </w:rPr>
        <w:t>The heart can lie: The role of interoception and theory of mind in deception</w:t>
      </w:r>
      <w:r>
        <w:t xml:space="preserve">. </w:t>
      </w:r>
      <w:hyperlink r:id="rId23">
        <w:r>
          <w:rPr>
            <w:rStyle w:val="Hyperlink"/>
          </w:rPr>
          <w:t>http://dx.doi.org/10.31234/osf.io/p342w</w:t>
        </w:r>
      </w:hyperlink>
    </w:p>
    <w:p w14:paraId="2CD3118C" w14:textId="77777777" w:rsidR="00AF6CB6" w:rsidRDefault="00C86744">
      <w:pPr>
        <w:pStyle w:val="Bibliography"/>
      </w:pPr>
      <w:bookmarkStart w:id="36" w:name="ref-mehling2012"/>
      <w:bookmarkEnd w:id="35"/>
      <w:r>
        <w:t xml:space="preserve">Mehling, W. E., Price, C., Daubenmier, J. J., Acree, M., Bartmess, E., &amp; Stewart, A. (2012). The Multidimensional Assessment of Interoceptive Awareness (MAIA). </w:t>
      </w:r>
      <w:r>
        <w:rPr>
          <w:i/>
          <w:iCs/>
        </w:rPr>
        <w:t>PLoS ONE</w:t>
      </w:r>
      <w:r>
        <w:t xml:space="preserve">, </w:t>
      </w:r>
      <w:r>
        <w:rPr>
          <w:i/>
          <w:iCs/>
        </w:rPr>
        <w:t>7</w:t>
      </w:r>
      <w:r>
        <w:t xml:space="preserve">(11), e48230. </w:t>
      </w:r>
      <w:hyperlink r:id="rId24">
        <w:r>
          <w:rPr>
            <w:rStyle w:val="Hyperlink"/>
          </w:rPr>
          <w:t>https://doi.org/10.1371/journal.pone.0048230</w:t>
        </w:r>
      </w:hyperlink>
    </w:p>
    <w:p w14:paraId="2CD3118D" w14:textId="77777777" w:rsidR="00AF6CB6" w:rsidRDefault="00C86744">
      <w:pPr>
        <w:pStyle w:val="Bibliography"/>
      </w:pPr>
      <w:bookmarkStart w:id="37" w:name="ref-morin2016"/>
      <w:bookmarkEnd w:id="36"/>
      <w:r>
        <w:t xml:space="preserve">Morin, A. J. S., Arens, A. K., &amp; Marsh, H. W. (2015). A bifactor exploratory structural equation modeling framework for the identification of distinct sources of construct-relevant psychometric multidimensionality. </w:t>
      </w:r>
      <w:r>
        <w:rPr>
          <w:i/>
          <w:iCs/>
        </w:rPr>
        <w:t>Structural Equation Modeling: A Multidisciplinary Journal</w:t>
      </w:r>
      <w:r>
        <w:t xml:space="preserve">, </w:t>
      </w:r>
      <w:r>
        <w:rPr>
          <w:i/>
          <w:iCs/>
        </w:rPr>
        <w:t>23</w:t>
      </w:r>
      <w:r>
        <w:t xml:space="preserve">(1), 116–139. </w:t>
      </w:r>
      <w:hyperlink r:id="rId25">
        <w:r>
          <w:rPr>
            <w:rStyle w:val="Hyperlink"/>
          </w:rPr>
          <w:t>https://doi.org/10.1080/10705511.2014.961800</w:t>
        </w:r>
      </w:hyperlink>
    </w:p>
    <w:p w14:paraId="2CD3118E" w14:textId="77777777" w:rsidR="00AF6CB6" w:rsidRDefault="00C86744">
      <w:pPr>
        <w:pStyle w:val="Bibliography"/>
      </w:pPr>
      <w:bookmarkStart w:id="38" w:name="ref-murphy2019"/>
      <w:bookmarkEnd w:id="37"/>
      <w:r>
        <w:t xml:space="preserve">Murphy, J., Brewer, R., Plans, D., Khalsa, S. S., Catmur, C., &amp; Bird, G. (2019). Testing the independence of self-reported interoceptive accuracy and attention. </w:t>
      </w:r>
      <w:r>
        <w:rPr>
          <w:i/>
          <w:iCs/>
        </w:rPr>
        <w:t>Quarterly Journal of Experimental Psychology</w:t>
      </w:r>
      <w:r>
        <w:t xml:space="preserve">, </w:t>
      </w:r>
      <w:r>
        <w:rPr>
          <w:i/>
          <w:iCs/>
        </w:rPr>
        <w:t>73</w:t>
      </w:r>
      <w:r>
        <w:t xml:space="preserve">(1), 115–133. </w:t>
      </w:r>
      <w:hyperlink r:id="rId26">
        <w:r>
          <w:rPr>
            <w:rStyle w:val="Hyperlink"/>
          </w:rPr>
          <w:t>https://doi.org/10.1177/1747021819879826</w:t>
        </w:r>
      </w:hyperlink>
    </w:p>
    <w:p w14:paraId="2CD3118F" w14:textId="77777777" w:rsidR="00AF6CB6" w:rsidRDefault="00C86744">
      <w:pPr>
        <w:pStyle w:val="Bibliography"/>
      </w:pPr>
      <w:bookmarkStart w:id="39" w:name="ref-ruisch2022"/>
      <w:bookmarkEnd w:id="38"/>
      <w:r>
        <w:lastRenderedPageBreak/>
        <w:t xml:space="preserve">Ruisch, B. C., Von Mohr, M., Naber, M., Tsakiris, M., Fazio, R. H., &amp; Scheepers, D. T. (2022a). Sensitive liberals and unfeeling conservatives? </w:t>
      </w:r>
      <w:r>
        <w:rPr>
          <w:i/>
          <w:iCs/>
        </w:rPr>
        <w:t>Interoceptive sensitivity predicts political liberalism</w:t>
      </w:r>
      <w:r>
        <w:t xml:space="preserve">. </w:t>
      </w:r>
      <w:r>
        <w:rPr>
          <w:i/>
          <w:iCs/>
        </w:rPr>
        <w:t>Politics and the Life Sciences</w:t>
      </w:r>
      <w:r>
        <w:t xml:space="preserve">, </w:t>
      </w:r>
      <w:r>
        <w:rPr>
          <w:i/>
          <w:iCs/>
        </w:rPr>
        <w:t>41</w:t>
      </w:r>
      <w:r>
        <w:t xml:space="preserve">(2), 256–275. </w:t>
      </w:r>
      <w:hyperlink r:id="rId27">
        <w:r>
          <w:rPr>
            <w:rStyle w:val="Hyperlink"/>
          </w:rPr>
          <w:t>https://doi.org/10.1017/pls.2022.18</w:t>
        </w:r>
      </w:hyperlink>
    </w:p>
    <w:p w14:paraId="2CD31190" w14:textId="77777777" w:rsidR="00AF6CB6" w:rsidRDefault="00C86744">
      <w:pPr>
        <w:pStyle w:val="Bibliography"/>
      </w:pPr>
      <w:bookmarkStart w:id="40" w:name="ref-ruisch2022a"/>
      <w:bookmarkEnd w:id="39"/>
      <w:r>
        <w:t xml:space="preserve">Ruisch, B. C., Von Mohr, M., Naber, M., Tsakiris, M., Fazio, R. H., &amp; Scheepers, D. T. (2022b). Sensitive liberals and unfeeling conservatives? </w:t>
      </w:r>
      <w:r>
        <w:rPr>
          <w:i/>
          <w:iCs/>
        </w:rPr>
        <w:t>Interoceptive sensitivity predicts political liberalism</w:t>
      </w:r>
      <w:r>
        <w:t xml:space="preserve">. </w:t>
      </w:r>
      <w:r>
        <w:rPr>
          <w:i/>
          <w:iCs/>
        </w:rPr>
        <w:t>Politics and the Life Sciences</w:t>
      </w:r>
      <w:r>
        <w:t xml:space="preserve">, </w:t>
      </w:r>
      <w:r>
        <w:rPr>
          <w:i/>
          <w:iCs/>
        </w:rPr>
        <w:t>41</w:t>
      </w:r>
      <w:r>
        <w:t xml:space="preserve">(2), 256–275. </w:t>
      </w:r>
      <w:hyperlink r:id="rId28">
        <w:r>
          <w:rPr>
            <w:rStyle w:val="Hyperlink"/>
          </w:rPr>
          <w:t>https://doi.org/10.1017/pls.2022.18</w:t>
        </w:r>
      </w:hyperlink>
    </w:p>
    <w:p w14:paraId="2CD31191" w14:textId="77777777" w:rsidR="00AF6CB6" w:rsidRDefault="00C86744">
      <w:pPr>
        <w:pStyle w:val="Bibliography"/>
      </w:pPr>
      <w:bookmarkStart w:id="41" w:name="ref-solanolópez2018"/>
      <w:bookmarkEnd w:id="40"/>
      <w:r>
        <w:t xml:space="preserve">Solano López, A. L., &amp; Moore, S. (2018). Dimensions of Body-Awareness and Depressed Mood and Anxiety. </w:t>
      </w:r>
      <w:r>
        <w:rPr>
          <w:i/>
          <w:iCs/>
        </w:rPr>
        <w:t>Western Journal of Nursing Research</w:t>
      </w:r>
      <w:r>
        <w:t xml:space="preserve">, </w:t>
      </w:r>
      <w:r>
        <w:rPr>
          <w:i/>
          <w:iCs/>
        </w:rPr>
        <w:t>41</w:t>
      </w:r>
      <w:r>
        <w:t xml:space="preserve">(6), 834–853. </w:t>
      </w:r>
      <w:hyperlink r:id="rId29">
        <w:r>
          <w:rPr>
            <w:rStyle w:val="Hyperlink"/>
          </w:rPr>
          <w:t>https://doi.org/10.1177/0193945918798374</w:t>
        </w:r>
      </w:hyperlink>
    </w:p>
    <w:p w14:paraId="2CD31192" w14:textId="77777777" w:rsidR="00AF6CB6" w:rsidRDefault="00C86744">
      <w:pPr>
        <w:pStyle w:val="Bibliography"/>
      </w:pPr>
      <w:bookmarkStart w:id="42" w:name="ref-todd2022"/>
      <w:bookmarkEnd w:id="41"/>
      <w:r>
        <w:t xml:space="preserve">Todd, J., Swami, V., Aspell, J. E., Furnham, A., Horne, G., &amp; Stieger, S. (2022). Are some interoceptive sensibility components more central than others? Using item pool visualisation to understand the psychometric representation of interoception. </w:t>
      </w:r>
      <w:r>
        <w:rPr>
          <w:i/>
          <w:iCs/>
        </w:rPr>
        <w:t>Plos One</w:t>
      </w:r>
      <w:r>
        <w:t xml:space="preserve">, </w:t>
      </w:r>
      <w:r>
        <w:rPr>
          <w:i/>
          <w:iCs/>
        </w:rPr>
        <w:t>17</w:t>
      </w:r>
      <w:r>
        <w:t>(12), e0277894.</w:t>
      </w:r>
    </w:p>
    <w:p w14:paraId="2CD31193" w14:textId="77777777" w:rsidR="00AF6CB6" w:rsidRDefault="00C86744">
      <w:pPr>
        <w:pStyle w:val="Bibliography"/>
      </w:pPr>
      <w:bookmarkStart w:id="43" w:name="ref-torregrossa2022"/>
      <w:bookmarkEnd w:id="42"/>
      <w:r>
        <w:t xml:space="preserve">Torregrossa, L. J., Amedy, A., Roig, J., Prada, A., &amp; Park, S. (2022). Interoceptive functioning in schizophrenia and schizotypy. </w:t>
      </w:r>
      <w:r>
        <w:rPr>
          <w:i/>
          <w:iCs/>
        </w:rPr>
        <w:t>Schizophrenia Research</w:t>
      </w:r>
      <w:r>
        <w:t xml:space="preserve">, </w:t>
      </w:r>
      <w:r>
        <w:rPr>
          <w:i/>
          <w:iCs/>
        </w:rPr>
        <w:t>239</w:t>
      </w:r>
      <w:r>
        <w:t xml:space="preserve">, 151–159. </w:t>
      </w:r>
      <w:hyperlink r:id="rId30">
        <w:r>
          <w:rPr>
            <w:rStyle w:val="Hyperlink"/>
          </w:rPr>
          <w:t>https://doi.org/10.1016/j.schres.2021.11.046</w:t>
        </w:r>
      </w:hyperlink>
    </w:p>
    <w:p w14:paraId="2CD31194" w14:textId="77777777" w:rsidR="00AF6CB6" w:rsidRDefault="00C86744">
      <w:pPr>
        <w:pStyle w:val="Bibliography"/>
      </w:pPr>
      <w:bookmarkStart w:id="44" w:name="ref-von2023"/>
      <w:bookmarkEnd w:id="43"/>
      <w:r>
        <w:t xml:space="preserve">Von Mohr, M., Silva, P. C., Vagnoni, E., Bracher, A., Bertoni, T., Serino, A., Banissy, M. J., Jenkinson, P. M., &amp; Fotopoulou, A. (2023). My social comfort zone: Attachment anxiety shapes peripersonal and interpersonal space. </w:t>
      </w:r>
      <w:r>
        <w:rPr>
          <w:i/>
          <w:iCs/>
        </w:rPr>
        <w:t>Iscience</w:t>
      </w:r>
      <w:r>
        <w:t xml:space="preserve">, </w:t>
      </w:r>
      <w:r>
        <w:rPr>
          <w:i/>
          <w:iCs/>
        </w:rPr>
        <w:t>26</w:t>
      </w:r>
      <w:r>
        <w:t>(2).</w:t>
      </w:r>
    </w:p>
    <w:bookmarkEnd w:id="44"/>
    <w:bookmarkEnd w:id="21"/>
    <w:p w14:paraId="2CD31195" w14:textId="77777777" w:rsidR="00AF6CB6" w:rsidRDefault="00C86744">
      <w:r>
        <w:br w:type="page"/>
      </w:r>
    </w:p>
    <w:p w14:paraId="2CD31196" w14:textId="77777777" w:rsidR="00AF6CB6" w:rsidRDefault="00C86744">
      <w:pPr>
        <w:pStyle w:val="Heading1"/>
      </w:pPr>
      <w:bookmarkStart w:id="45" w:name="appendix"/>
      <w:bookmarkEnd w:id="19"/>
      <w:r>
        <w:lastRenderedPageBreak/>
        <w:t>Appendix</w:t>
      </w:r>
    </w:p>
    <w:p w14:paraId="2CD31197" w14:textId="77777777" w:rsidR="00AF6CB6" w:rsidRDefault="00C86744">
      <w:pPr>
        <w:pStyle w:val="Heading1"/>
      </w:pPr>
      <w:bookmarkStart w:id="46" w:name="title-for-appendix"/>
      <w:bookmarkEnd w:id="45"/>
      <w:r>
        <w:t>Title for Appendix</w:t>
      </w:r>
    </w:p>
    <w:bookmarkEnd w:id="46"/>
    <w:sectPr w:rsidR="00AF6CB6">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311A5" w14:textId="77777777" w:rsidR="00C86744" w:rsidRDefault="00C86744">
      <w:pPr>
        <w:spacing w:line="240" w:lineRule="auto"/>
      </w:pPr>
      <w:r>
        <w:separator/>
      </w:r>
    </w:p>
  </w:endnote>
  <w:endnote w:type="continuationSeparator" w:id="0">
    <w:p w14:paraId="2CD311A7" w14:textId="77777777" w:rsidR="00C86744" w:rsidRDefault="00C86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311A0" w14:textId="77777777" w:rsidR="00AF6CB6" w:rsidRDefault="00C86744">
      <w:r>
        <w:separator/>
      </w:r>
    </w:p>
  </w:footnote>
  <w:footnote w:type="continuationSeparator" w:id="0">
    <w:p w14:paraId="2CD311A1" w14:textId="77777777" w:rsidR="00AF6CB6" w:rsidRDefault="00C86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92DF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476067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B6"/>
    <w:rsid w:val="003F6BF6"/>
    <w:rsid w:val="00AF6CB6"/>
    <w:rsid w:val="00C867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1085"/>
  <w15:docId w15:val="{34D96063-C797-4E70-A472-4B22768C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C8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38/s44271-023-00016-x" TargetMode="External"/><Relationship Id="rId18" Type="http://schemas.openxmlformats.org/officeDocument/2006/relationships/hyperlink" Target="https://doi.org/10.1016/j.paid.2020.110493" TargetMode="External"/><Relationship Id="rId26" Type="http://schemas.openxmlformats.org/officeDocument/2006/relationships/hyperlink" Target="https://doi.org/10.1177/1747021819879826" TargetMode="External"/><Relationship Id="rId3" Type="http://schemas.openxmlformats.org/officeDocument/2006/relationships/settings" Target="settings.xml"/><Relationship Id="rId21" Type="http://schemas.openxmlformats.org/officeDocument/2006/relationships/hyperlink" Target="https://doi.org/10.1016/j.bpsc.2017.12.004"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016/j.ijdevneu.2016.05.001" TargetMode="External"/><Relationship Id="rId25" Type="http://schemas.openxmlformats.org/officeDocument/2006/relationships/hyperlink" Target="https://doi.org/10.1080/10705511.2014.961800" TargetMode="External"/><Relationship Id="rId2" Type="http://schemas.openxmlformats.org/officeDocument/2006/relationships/styles" Target="styles.xml"/><Relationship Id="rId16" Type="http://schemas.openxmlformats.org/officeDocument/2006/relationships/hyperlink" Target="https://doi.org/10.3389/fpsyg.2020.01145" TargetMode="External"/><Relationship Id="rId20" Type="http://schemas.openxmlformats.org/officeDocument/2006/relationships/hyperlink" Target="https://doi.org/10.1016/j.jebo.2013.12.016" TargetMode="External"/><Relationship Id="rId29" Type="http://schemas.openxmlformats.org/officeDocument/2006/relationships/hyperlink" Target="https://doi.org/10.1177/01939459187983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371/journal.pone.00482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390/psych3030032" TargetMode="External"/><Relationship Id="rId23" Type="http://schemas.openxmlformats.org/officeDocument/2006/relationships/hyperlink" Target="http://dx.doi.org/10.31234/osf.io/p342w" TargetMode="External"/><Relationship Id="rId28" Type="http://schemas.openxmlformats.org/officeDocument/2006/relationships/hyperlink" Target="https://doi.org/10.1017/pls.2022.18" TargetMode="External"/><Relationship Id="rId10" Type="http://schemas.openxmlformats.org/officeDocument/2006/relationships/hyperlink" Target="https://raw.githubusercontent.com/DominiqueMakowski/PHQ4R/main/study2/data/data.csv" TargetMode="External"/><Relationship Id="rId19" Type="http://schemas.openxmlformats.org/officeDocument/2006/relationships/hyperlink" Target="https://doi.org/10.1111/j.1467-6494.2011.00717.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RealityBending/IllusionGameReliability/main/data/preprocessed_questionnaires.csv" TargetMode="External"/><Relationship Id="rId14" Type="http://schemas.openxmlformats.org/officeDocument/2006/relationships/hyperlink" Target="http://dx.doi.org/10.31234/osf.io/a7wdj" TargetMode="External"/><Relationship Id="rId22" Type="http://schemas.openxmlformats.org/officeDocument/2006/relationships/hyperlink" Target="https://doi.org/10.1016/j.jpsychores.2023.111541" TargetMode="External"/><Relationship Id="rId27" Type="http://schemas.openxmlformats.org/officeDocument/2006/relationships/hyperlink" Target="https://doi.org/10.1017/pls.2022.18" TargetMode="External"/><Relationship Id="rId30" Type="http://schemas.openxmlformats.org/officeDocument/2006/relationships/hyperlink" Target="https://doi.org/10.1016/j.schres.2021.11.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26</Pages>
  <Words>5876</Words>
  <Characters>33496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IAS FACTOR STRUCTURE AND CORRELATES</dc:description>
  <cp:lastModifiedBy>Ana Neves</cp:lastModifiedBy>
  <cp:revision>2</cp:revision>
  <dcterms:created xsi:type="dcterms:W3CDTF">2024-06-10T19:30:00Z</dcterms:created>
  <dcterms:modified xsi:type="dcterms:W3CDTF">2024-06-10T19:30:00Z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Meta-analysis of the Interoceptive Accuracy Scale (IAS) Structure and its Subjective Correlates</vt:lpwstr>
  </property>
  <property fmtid="{D5CDD505-2E9C-101B-9397-08002B2CF9AE}" pid="6" name="apatitledisplay">
    <vt:lpwstr>Meta-analysis of the Interoceptive Accuracy Scale (IAS) Structure and its Subjective Correlates</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editor">
    <vt:lpwstr/>
  </property>
  <property fmtid="{D5CDD505-2E9C-101B-9397-08002B2CF9AE}" pid="15" name="fig-cap-location">
    <vt:lpwstr>top</vt:lpwstr>
  </property>
  <property fmtid="{D5CDD505-2E9C-101B-9397-08002B2CF9AE}" pid="16" name="floatsintext">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sk">
    <vt:lpwstr>False</vt:lpwstr>
  </property>
  <property fmtid="{D5CDD505-2E9C-101B-9397-08002B2CF9AE}" pid="25" name="no-ampersand-parenthetical">
    <vt:lpwstr>False</vt:lpwstr>
  </property>
  <property fmtid="{D5CDD505-2E9C-101B-9397-08002B2CF9AE}" pid="26" name="numbered-lines">
    <vt:lpwstr>True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IAS FACTOR STRUCTURE AND CORRELATES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