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89FE" w14:textId="77777777" w:rsidR="00D1288C" w:rsidRPr="00D1288C" w:rsidRDefault="00D1288C" w:rsidP="00D1288C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D1288C">
        <w:rPr>
          <w:rFonts w:asciiTheme="majorBidi" w:hAnsiTheme="majorBidi"/>
          <w:b/>
          <w:bCs/>
          <w:color w:val="auto"/>
          <w:sz w:val="24"/>
          <w:szCs w:val="24"/>
        </w:rPr>
        <w:t>Abstract</w:t>
      </w:r>
    </w:p>
    <w:p w14:paraId="425D8AC6" w14:textId="77777777" w:rsidR="00D1288C" w:rsidRPr="00D1288C" w:rsidRDefault="00D1288C" w:rsidP="00D1288C">
      <w:pPr>
        <w:pStyle w:val="BodyText"/>
        <w:rPr>
          <w:rFonts w:asciiTheme="majorBidi" w:hAnsiTheme="majorBidi" w:cstheme="majorBidi"/>
        </w:rPr>
      </w:pPr>
      <w:r w:rsidRPr="00D1288C">
        <w:rPr>
          <w:rFonts w:asciiTheme="majorBidi" w:hAnsiTheme="majorBidi" w:cstheme="majorBidi"/>
        </w:rPr>
        <w:t xml:space="preserve">Recent reviews demonstrate that historic questionnaires designed to assess interoceptive abilities show low convergence and </w:t>
      </w:r>
      <w:proofErr w:type="gramStart"/>
      <w:r w:rsidRPr="00D1288C">
        <w:rPr>
          <w:rFonts w:asciiTheme="majorBidi" w:hAnsiTheme="majorBidi" w:cstheme="majorBidi"/>
        </w:rPr>
        <w:t>likely measure</w:t>
      </w:r>
      <w:proofErr w:type="gramEnd"/>
      <w:r w:rsidRPr="00D1288C">
        <w:rPr>
          <w:rFonts w:asciiTheme="majorBidi" w:hAnsiTheme="majorBidi" w:cstheme="majorBidi"/>
        </w:rPr>
        <w:t xml:space="preserve"> distinct </w:t>
      </w:r>
      <w:proofErr w:type="gramStart"/>
      <w:r w:rsidRPr="00D1288C">
        <w:rPr>
          <w:rFonts w:asciiTheme="majorBidi" w:hAnsiTheme="majorBidi" w:cstheme="majorBidi"/>
        </w:rPr>
        <w:t>constructs</w:t>
      </w:r>
      <w:proofErr w:type="gramEnd"/>
      <w:r w:rsidRPr="00D1288C">
        <w:rPr>
          <w:rFonts w:asciiTheme="majorBidi" w:hAnsiTheme="majorBidi" w:cstheme="majorBidi"/>
        </w:rPr>
        <w:t xml:space="preserve">. Motivated by the theoretical distinction between interoceptive accuracy versus attention, the Interoceptive Accuracy Scale (IAS) is a recently developed, promising, and increasingly popular measure, but its psychometric properties and dimensional structure remain underexplored. Across two studies, we used a mega-analytic approach combining data from 17 datasets (N &gt; 33,000) to provide the most comprehensive evaluation to date of the IAS, including both its structure (Study 1) and dispositional correlates (Study 2). Study 1 triangulated the IAS structure across multiple dimensionality-exploration algorithms, identifying a stable core of 14-items, composed of 7 correlated but distinct pairs of items tied to specific bodily sensations (e.g., Hunger–Thirst, </w:t>
      </w:r>
      <w:proofErr w:type="gramStart"/>
      <w:r w:rsidRPr="00D1288C">
        <w:rPr>
          <w:rFonts w:asciiTheme="majorBidi" w:hAnsiTheme="majorBidi" w:cstheme="majorBidi"/>
        </w:rPr>
        <w:t>Urinate</w:t>
      </w:r>
      <w:proofErr w:type="gramEnd"/>
      <w:r w:rsidRPr="00D1288C">
        <w:rPr>
          <w:rFonts w:asciiTheme="majorBidi" w:hAnsiTheme="majorBidi" w:cstheme="majorBidi"/>
        </w:rPr>
        <w:t xml:space="preserve">–Defecate, Cough–Sneeze). Study 2 examined associations between the IAS and measures of mood, anxiety, psychopathological and neurodevelopmental traits, personality, and belief-related constructs. Results revealed a nuanced pattern of associations, broadly reflecting positive links with adaptive affective and personality characteristics, and negative links with maladaptive traits. The 14-item IAS performed comparably to the original 21-item version, but item-pairing improved interpretability and highlighted domain-specific patterns. In particular, the Hungry-Thirsty and Bruise-Blood-sugar pairs displayed the strongest and most consistent associations with relevant outcomes. Taken together, these findings provide support for the idea that self-perceived interoceptive abilities </w:t>
      </w:r>
      <w:proofErr w:type="gramStart"/>
      <w:r w:rsidRPr="00D1288C">
        <w:rPr>
          <w:rFonts w:asciiTheme="majorBidi" w:hAnsiTheme="majorBidi" w:cstheme="majorBidi"/>
        </w:rPr>
        <w:t>is</w:t>
      </w:r>
      <w:proofErr w:type="gramEnd"/>
      <w:r w:rsidRPr="00D1288C">
        <w:rPr>
          <w:rFonts w:asciiTheme="majorBidi" w:hAnsiTheme="majorBidi" w:cstheme="majorBidi"/>
        </w:rPr>
        <w:t xml:space="preserve"> a differentiated construct, varying across bodily systems.</w:t>
      </w:r>
    </w:p>
    <w:p w14:paraId="19A19BEF" w14:textId="77777777" w:rsidR="00D1288C" w:rsidRPr="00D1288C" w:rsidRDefault="00D1288C" w:rsidP="00D1288C">
      <w:pPr>
        <w:pStyle w:val="FirstParagraph"/>
        <w:rPr>
          <w:rFonts w:asciiTheme="majorBidi" w:hAnsiTheme="majorBidi" w:cstheme="majorBidi"/>
        </w:rPr>
      </w:pPr>
      <w:r w:rsidRPr="00D1288C">
        <w:rPr>
          <w:rFonts w:asciiTheme="majorBidi" w:hAnsiTheme="majorBidi" w:cstheme="majorBidi"/>
        </w:rPr>
        <w:t>Interoception, interoceptive accuracy, interoceptive sensibility, measurement, exploratory factor analysis, network analysis</w:t>
      </w:r>
    </w:p>
    <w:p w14:paraId="67E7D6AB" w14:textId="77777777" w:rsidR="00D1288C" w:rsidRPr="00D1288C" w:rsidRDefault="00D1288C">
      <w:pPr>
        <w:rPr>
          <w:rFonts w:asciiTheme="majorBidi" w:hAnsiTheme="majorBidi" w:cstheme="majorBidi"/>
          <w:lang w:val="en"/>
        </w:rPr>
      </w:pPr>
    </w:p>
    <w:sectPr w:rsidR="00D1288C" w:rsidRPr="00D12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C"/>
    <w:rsid w:val="00D1288C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1B96"/>
  <w15:chartTrackingRefBased/>
  <w15:docId w15:val="{8576DE1B-A6FB-4548-9085-CDDEB71D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1288C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1288C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2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1678</Characters>
  <Application>Microsoft Office Word</Application>
  <DocSecurity>0</DocSecurity>
  <Lines>25</Lines>
  <Paragraphs>3</Paragraphs>
  <ScaleCrop>false</ScaleCrop>
  <Company>University of Sussex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1</cp:revision>
  <dcterms:created xsi:type="dcterms:W3CDTF">2026-03-27T12:13:00Z</dcterms:created>
  <dcterms:modified xsi:type="dcterms:W3CDTF">2026-03-27T12:15:00Z</dcterms:modified>
</cp:coreProperties>
</file>