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D0B4D" w14:textId="77777777" w:rsidR="009C6DB7" w:rsidRDefault="00000000">
      <w:pPr>
        <w:pStyle w:val="FirstParagraph"/>
      </w:pPr>
      <w:r>
        <w:t xml:space="preserve"> </w:t>
      </w:r>
    </w:p>
    <w:p w14:paraId="06C75301" w14:textId="77777777" w:rsidR="009C6DB7" w:rsidRDefault="00000000">
      <w:pPr>
        <w:pStyle w:val="BodyText"/>
      </w:pPr>
      <w:r>
        <w:t xml:space="preserve"> </w:t>
      </w:r>
    </w:p>
    <w:p w14:paraId="27C81286" w14:textId="77777777" w:rsidR="009C6DB7" w:rsidRDefault="00000000">
      <w:pPr>
        <w:pStyle w:val="Heading1"/>
      </w:pPr>
      <w:bookmarkStart w:id="0" w:name="title"/>
      <w:r>
        <w:t>The Mint Scale: A Fresh Validation of the Multimodal Interoception Questionnaire and Comparison to the MAIA, BPQ and IAS</w:t>
      </w:r>
    </w:p>
    <w:p w14:paraId="417B6B42" w14:textId="77777777" w:rsidR="009C6DB7" w:rsidRDefault="00000000">
      <w:r>
        <w:br w:type="page"/>
      </w:r>
    </w:p>
    <w:p w14:paraId="36CE8EE1" w14:textId="77777777" w:rsidR="009C6DB7" w:rsidRDefault="00000000">
      <w:pPr>
        <w:pStyle w:val="Heading1"/>
      </w:pPr>
      <w:bookmarkStart w:id="1" w:name="abstract"/>
      <w:bookmarkEnd w:id="0"/>
      <w:r>
        <w:lastRenderedPageBreak/>
        <w:t>Abstract</w:t>
      </w:r>
    </w:p>
    <w:p w14:paraId="01A1C56A" w14:textId="08C16D81" w:rsidR="00AD733E" w:rsidRPr="00AD733E" w:rsidRDefault="00AD733E" w:rsidP="00AD733E">
      <w:pPr>
        <w:pStyle w:val="BodyText"/>
      </w:pPr>
      <w:r w:rsidRPr="00AD733E">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"modality-by-context" framework was generated and then reduced using psychometric network analysis. In Study 2 (N=737), </w:t>
      </w:r>
      <w:r w:rsidRPr="00AD733E">
        <w:rPr>
          <w:b/>
          <w:bCs/>
        </w:rPr>
        <w:t>we further assessed the structure of the Mint in an independent sample</w:t>
      </w:r>
      <w:r w:rsidRPr="00AD733E">
        <w:t>,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2D4C27A7" w14:textId="77777777" w:rsidR="009C6DB7" w:rsidRDefault="00000000">
      <w:pPr>
        <w:pStyle w:val="FirstParagraph"/>
      </w:pPr>
      <w:r>
        <w:rPr>
          <w:i/>
          <w:iCs/>
        </w:rPr>
        <w:t>Keywords</w:t>
      </w:r>
      <w:r>
        <w:t>:Interoception questionnaire, interoceptive accuracy yscale, MAIA, Mint Validation, Body Awareness, Health</w:t>
      </w:r>
    </w:p>
    <w:p w14:paraId="5D9A0A4F" w14:textId="77777777" w:rsidR="009C6DB7" w:rsidRDefault="00000000">
      <w:r>
        <w:br w:type="page"/>
      </w:r>
    </w:p>
    <w:p w14:paraId="798A4DF7" w14:textId="77777777" w:rsidR="009C6DB7" w:rsidRDefault="00000000">
      <w:pPr>
        <w:pStyle w:val="Heading1"/>
      </w:pPr>
      <w:bookmarkStart w:id="2" w:name="firstheader"/>
      <w:bookmarkEnd w:id="1"/>
      <w:r>
        <w:lastRenderedPageBreak/>
        <w:t>The Mint Scale: A Fresh Validation of the Multimodal Interoception Questionnaire and Comparison to the MAIA, BPQ and IAS</w:t>
      </w:r>
    </w:p>
    <w:p w14:paraId="49DDF1B1" w14:textId="77777777" w:rsidR="009C6DB7" w:rsidRDefault="00000000">
      <w:pPr>
        <w:pStyle w:val="Heading1"/>
      </w:pPr>
      <w:bookmarkStart w:id="3" w:name="introduction"/>
      <w:bookmarkEnd w:id="2"/>
      <w:r>
        <w:t>Introduction</w:t>
      </w:r>
    </w:p>
    <w:p w14:paraId="628E01F8" w14:textId="77777777" w:rsidR="009C6DB7"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7CEE6BCB" w14:textId="77777777" w:rsidR="009C6DB7"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61AA4FBE" w14:textId="77777777" w:rsidR="009C6DB7"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the Body Awareness Questionnaire (BAQ, </w:t>
      </w:r>
      <w:hyperlink w:anchor="ref-shields1989body">
        <w:r>
          <w:rPr>
            <w:rStyle w:val="Hyperlink"/>
          </w:rPr>
          <w:t>Shields et al., 1989</w:t>
        </w:r>
      </w:hyperlink>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5DC215BF" w14:textId="77777777" w:rsidR="009C6DB7"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 The MAIA incorporated ideas from the then-booming emotion regulation and mindfulness fields, including subscales assessing adaptive coping strategies and metacognitive insights about the body. More recently, the IAS was developed to circumvent these high-level - possibly tangential - constructs, instead capturing subjective reports of concrete bodily events (e.g., coughing, sneezing) as proxies for interoceptive accuracy. </w:t>
      </w:r>
      <w:r>
        <w:rPr>
          <w:b/>
          <w:bCs/>
        </w:rPr>
        <w:t xml:space="preserve">Other proposed measures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comprehensive reviews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79C92589" w14:textId="77777777" w:rsidR="009C6DB7"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because the body constitutes a unitary representation produced by multisensory integration of bottom-up information, with substantial influence from top-down factors (</w:t>
      </w:r>
      <w:hyperlink w:anchor="ref-kirsch2023role">
        <w:r>
          <w:rPr>
            <w:rStyle w:val="Hyperlink"/>
          </w:rPr>
          <w:t>Kirsch &amp; Kunde, 2023</w:t>
        </w:r>
      </w:hyperlink>
      <w:r>
        <w:t>).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34B20137" w14:textId="77777777" w:rsidR="009C6DB7" w:rsidRDefault="00000000">
      <w:pPr>
        <w:pStyle w:val="BodyText"/>
      </w:pPr>
      <w:r>
        <w:t xml:space="preserve">Perhaps most critically, existing measures often ask participants to make general assessments across most/all contexts, which does not capture the potential homeostatic relevance </w:t>
      </w:r>
      <w:r>
        <w:lastRenderedPageBreak/>
        <w:t xml:space="preserve">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t>
      </w:r>
      <w:r>
        <w:rPr>
          <w:b/>
          <w:bCs/>
        </w:rPr>
        <w:t>(e.g., during physical exercise, a moment of anxiety, excitement, or quiet rest)</w:t>
      </w:r>
      <w:r>
        <w:t>, which may or may not be relevant homeostatically.</w:t>
      </w:r>
    </w:p>
    <w:p w14:paraId="2BE56BFB" w14:textId="77777777" w:rsidR="009C6DB7"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1B6C3D39" w14:textId="77777777" w:rsidR="009C6DB7" w:rsidRDefault="00000000">
      <w:pPr>
        <w:pStyle w:val="BodyText"/>
      </w:pPr>
      <w:r>
        <w:t xml:space="preserve">To address this gap, we developed and assessed the Multimodal Interoception Questionnaire (Mint), a new questionnaire that systematically addresses the above limitations. In Study 1, we describe the development of the Mint, using a “modality-by-context” framework to generate a comprehensive item pool, which was then refined using </w:t>
      </w:r>
      <w:r>
        <w:rPr>
          <w:b/>
          <w:bCs/>
        </w:rPr>
        <w:t>psychometric network analysis.</w:t>
      </w:r>
      <w:r>
        <w:t xml:space="preserve"> Network psychometrics is an emerging framework for studying relationships among </w:t>
      </w:r>
      <w:r>
        <w:lastRenderedPageBreak/>
        <w:t>psychological variables by representing them as a network structure (</w:t>
      </w:r>
      <w:hyperlink w:anchor="ref-epskamp2018network">
        <w:r>
          <w:rPr>
            <w:rStyle w:val="Hyperlink"/>
          </w:rPr>
          <w:t>Epskamp et al., 2018</w:t>
        </w:r>
      </w:hyperlink>
      <w: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rPr>
          <w:t>Christensen et al., 2020</w:t>
        </w:r>
      </w:hyperlink>
      <w:r>
        <w:t xml:space="preserve">; </w:t>
      </w:r>
      <w:hyperlink w:anchor="ref-golino2017exploratory">
        <w:r>
          <w:rPr>
            <w:rStyle w:val="Hyperlink"/>
          </w:rPr>
          <w:t>H. F. Golino &amp; Epskamp, 2017</w:t>
        </w:r>
      </w:hyperlink>
      <w:r>
        <w:t xml:space="preserve">; </w:t>
      </w:r>
      <w:hyperlink w:anchor="ref-magnavita2022development">
        <w:r>
          <w:rPr>
            <w:rStyle w:val="Hyperlink"/>
          </w:rPr>
          <w:t>Magnavita &amp; Chiorri, 2022</w:t>
        </w:r>
      </w:hyperlink>
      <w:r>
        <w:t xml:space="preserve">; </w:t>
      </w:r>
      <w:hyperlink w:anchor="ref-wongvorachan2025item">
        <w:r>
          <w:rPr>
            <w:rStyle w:val="Hyperlink"/>
          </w:rPr>
          <w:t>Wongvorachan, 2025</w:t>
        </w:r>
      </w:hyperlink>
      <w: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rPr>
          <w:t>H. F. Golino &amp; Epskamp, 2017</w:t>
        </w:r>
      </w:hyperlink>
      <w:r>
        <w:t xml:space="preserve">). In Study 2, we evaluate the final 33-item version of the Mint against the established interoception questionnaires, </w:t>
      </w:r>
      <w:r>
        <w:rPr>
          <w:b/>
          <w:bCs/>
        </w:rPr>
        <w:t>demonstrating that Mint scores have a robust structure and predictive validity for a range of clinically-relevant outcomes</w:t>
      </w:r>
      <w:r>
        <w:t>.</w:t>
      </w:r>
    </w:p>
    <w:p w14:paraId="227580A9" w14:textId="77777777" w:rsidR="009C6DB7" w:rsidRDefault="00000000">
      <w:pPr>
        <w:pStyle w:val="Heading1"/>
      </w:pPr>
      <w:bookmarkStart w:id="4" w:name="study-1-item-selection"/>
      <w:bookmarkEnd w:id="3"/>
      <w:r>
        <w:t>Study 1: Item Selection</w:t>
      </w:r>
    </w:p>
    <w:p w14:paraId="10D59BC7" w14:textId="77777777" w:rsidR="009C6DB7" w:rsidRDefault="00000000">
      <w:pPr>
        <w:pStyle w:val="FirstParagraph"/>
      </w:pPr>
      <w:r>
        <w:t xml:space="preserve">The aim of Study 1 was to develop a new interoception questionnaire by generating a comprehensive item pool and subsequently refining it into </w:t>
      </w:r>
      <w:r>
        <w:rPr>
          <w:b/>
          <w:bCs/>
        </w:rPr>
        <w:t>a scale yielding psychometrically robust scores</w:t>
      </w:r>
      <w:r>
        <w:t xml:space="preserv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w:t>
      </w:r>
      <w:r>
        <w:lastRenderedPageBreak/>
        <w:t>instead build on existing research and synthesise existing ideas and frameworks into a comprehensive and modern tool that captures both the richness of interoceptive experiences and the most prominent facets of interoception.</w:t>
      </w:r>
    </w:p>
    <w:p w14:paraId="6DC5E699" w14:textId="77777777" w:rsidR="009C6DB7" w:rsidRDefault="00000000">
      <w:pPr>
        <w:pStyle w:val="BodyText"/>
      </w:pPr>
      <w:r>
        <w:t>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C2C7C75" w14:textId="77777777" w:rsidR="009C6DB7"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31AF7E87" w14:textId="77777777" w:rsidR="009C6DB7" w:rsidRDefault="00000000">
      <w:pPr>
        <w:pStyle w:val="BodyText"/>
      </w:pPr>
      <w:r>
        <w:t xml:space="preserve">The initial pool of 120 was then reduced </w:t>
      </w:r>
      <w:r>
        <w:rPr>
          <w:b/>
          <w:bCs/>
        </w:rPr>
        <w:t>using psychometric network-based techniques</w:t>
      </w:r>
      <w:r>
        <w:t>,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multi-stage process was designed to produce a subset of items with a clear, stable, and theoretically rich hierarchical structure, ready for formal validation in Study 2.</w:t>
      </w:r>
    </w:p>
    <w:p w14:paraId="3495DBB5" w14:textId="77777777" w:rsidR="009C6DB7" w:rsidRDefault="00000000">
      <w:pPr>
        <w:pStyle w:val="Heading2"/>
      </w:pPr>
      <w:bookmarkStart w:id="5" w:name="methods"/>
      <w:r>
        <w:t>Methods</w:t>
      </w:r>
    </w:p>
    <w:p w14:paraId="741A8059" w14:textId="77777777" w:rsidR="009C6DB7" w:rsidRDefault="00000000">
      <w:pPr>
        <w:pStyle w:val="Heading3"/>
      </w:pPr>
      <w:bookmarkStart w:id="6" w:name="participants"/>
      <w:r>
        <w:t>Participants</w:t>
      </w:r>
    </w:p>
    <w:p w14:paraId="37BACF1E" w14:textId="77777777" w:rsidR="009C6DB7"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1.07% non-binary; country of residence: 63.86% UK, 26.65% USA, 9.48% other). Within this sample, 68.3% identified as White, 11.3% as Black, </w:t>
      </w:r>
      <w:r>
        <w:lastRenderedPageBreak/>
        <w:t xml:space="preserve">5.7% as Mixed ethnicity, and 4.1% as South Asian, 9.3% as others and 0.7% preferred to not disclose. </w:t>
      </w:r>
      <w:r>
        <w:rPr>
          <w:b/>
          <w:bCs/>
        </w:rPr>
        <w:t>This study was approved by the University of Sussex’ Ethics Committee (ER/MB2021/1).</w:t>
      </w:r>
    </w:p>
    <w:p w14:paraId="14A8843F" w14:textId="77777777" w:rsidR="009C6DB7" w:rsidRDefault="00000000">
      <w:pPr>
        <w:pStyle w:val="Heading3"/>
      </w:pPr>
      <w:bookmarkStart w:id="7" w:name="item-generation"/>
      <w:bookmarkEnd w:id="6"/>
      <w:r>
        <w:t>Item Generation</w:t>
      </w:r>
    </w:p>
    <w:p w14:paraId="1FE63044" w14:textId="77777777" w:rsidR="009C6DB7"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5CD67033" w14:textId="77777777" w:rsidR="009C6DB7" w:rsidRDefault="00000000">
      <w:pPr>
        <w:pStyle w:val="BodyText"/>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 Using this orthogonal 7x6 modality/facet grid as a conceptual scaffolding, we generated 120 initial items, striving for a balanced number of items with consistent phrasing within modalities </w:t>
      </w:r>
      <w:r>
        <w:lastRenderedPageBreak/>
        <w:t>and facets.</w:t>
      </w:r>
      <w:r>
        <w:rPr>
          <w:rStyle w:val="FootnoteReference"/>
        </w:rPr>
        <w:footnoteReference w:id="1"/>
      </w:r>
      <w:r>
        <w:t xml:space="preserve"> Items were generated through conversations between the researchers/authors of this paper. </w:t>
      </w:r>
    </w:p>
    <w:p w14:paraId="299B4A04" w14:textId="77777777" w:rsidR="009C6DB7" w:rsidRDefault="00000000">
      <w:pPr>
        <w:pStyle w:val="BodyText"/>
      </w:pPr>
      <w:r>
        <w:t>We additionally crafted 8 “attention check” items blending in (and distributed across) each category. These items were designed to match the grammatical structure and response 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45734E19" w14:textId="77777777" w:rsidR="009C6DB7" w:rsidRDefault="00000000">
      <w:pPr>
        <w:pStyle w:val="Heading3"/>
      </w:pPr>
      <w:bookmarkStart w:id="8" w:name="procedure"/>
      <w:bookmarkEnd w:id="7"/>
      <w:r>
        <w:lastRenderedPageBreak/>
        <w:t>Procedure</w:t>
      </w:r>
    </w:p>
    <w:p w14:paraId="7387FC55" w14:textId="77777777" w:rsidR="009C6DB7"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42E82E42" w14:textId="77777777" w:rsidR="009C6DB7" w:rsidRDefault="00000000">
      <w:pPr>
        <w:pStyle w:val="Heading3"/>
      </w:pPr>
      <w:bookmarkStart w:id="9" w:name="data-analysis"/>
      <w:bookmarkEnd w:id="8"/>
      <w:r>
        <w:t>Data Analysis</w:t>
      </w:r>
    </w:p>
    <w:p w14:paraId="60436AAC" w14:textId="77777777" w:rsidR="009C6DB7" w:rsidRDefault="00000000">
      <w:pPr>
        <w:pStyle w:val="FirstParagraph"/>
      </w:pPr>
      <w:r>
        <w:t xml:space="preserve">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xml:space="preserve">). For each index, we bootstrapped the difference between the similarity with the facet and modality conditions to test whether the correlation matrix in the random-grouping condition is significantly more similar to any of the two other conditions. 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xml:space="preserve">), </w:t>
      </w:r>
      <w:r>
        <w:rPr>
          <w:b/>
          <w:bCs/>
        </w:rPr>
        <w:t>a principled method derived from network psychometrics.</w:t>
      </w:r>
    </w:p>
    <w:p w14:paraId="15603A61" w14:textId="77777777" w:rsidR="009C6DB7" w:rsidRDefault="00000000">
      <w:pPr>
        <w:pStyle w:val="BodyText"/>
      </w:pPr>
      <w:r>
        <w:lastRenderedPageBreak/>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27AC5250" w14:textId="77777777" w:rsidR="009C6DB7" w:rsidRDefault="00000000">
      <w:pPr>
        <w:pStyle w:val="BodyText"/>
      </w:pPr>
      <w: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rPr>
          <w:t>Christensen &amp; Golino, 2021b</w:t>
        </w:r>
      </w:hyperlink>
      <w:r>
        <w:t>). In contrast, EGA estimates a network of conditional associations among items and identifies dimensions as communities of strongly connected nodes (</w:t>
      </w:r>
      <w:hyperlink w:anchor="ref-golino2017exploratory">
        <w:r>
          <w:rPr>
            <w:rStyle w:val="Hyperlink"/>
          </w:rPr>
          <w:t>H. F. Golino &amp; Epskamp, 2017</w:t>
        </w:r>
      </w:hyperlink>
      <w:r>
        <w:t>). Rather than attributing associations to latent causes, this approach allows structure to emerge from patterns of direct relationships among items. This framework is particularly appropriate 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rPr>
          <w:t>Christensen &amp; Golino, 2021b</w:t>
        </w:r>
      </w:hyperlink>
      <w:r>
        <w:t xml:space="preserve">; </w:t>
      </w:r>
      <w:hyperlink w:anchor="ref-jimenez2023dimensionality">
        <w:r>
          <w:rPr>
            <w:rStyle w:val="Hyperlink"/>
          </w:rPr>
          <w:t>Jiménez et al., 2023</w:t>
        </w:r>
      </w:hyperlink>
      <w:r>
        <w:t>).</w:t>
      </w:r>
    </w:p>
    <w:p w14:paraId="18DE8DF3" w14:textId="77777777" w:rsidR="009C6DB7" w:rsidRDefault="00000000">
      <w:pPr>
        <w:pStyle w:val="BodyText"/>
      </w:pPr>
      <w:r>
        <w:t>After removing redundant items using UVA, we iteratively fitted hierarchical EGA models (which additionally estimate higher-order “meta” clusters) using “glasso” (</w:t>
      </w:r>
      <w:hyperlink w:anchor="ref-friedman2008sparse">
        <w:r>
          <w:rPr>
            <w:rStyle w:val="Hyperlink"/>
          </w:rPr>
          <w:t xml:space="preserve">Friedman et </w:t>
        </w:r>
        <w:r>
          <w:rPr>
            <w:rStyle w:val="Hyperlink"/>
          </w:rPr>
          <w:lastRenderedPageBreak/>
          <w:t>al., 2008</w:t>
        </w:r>
      </w:hyperlink>
      <w:r>
        <w:t>) and the “Leiden” algorithm (</w:t>
      </w:r>
      <w:hyperlink w:anchor="ref-traag2019louvain">
        <w:r>
          <w:rPr>
            <w:rStyle w:val="Hyperlink"/>
          </w:rPr>
          <w:t>Traag et al., 2019</w:t>
        </w:r>
      </w:hyperlink>
      <w:r>
        <w:t>) for community detection, refining the item pool at each step. 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rPr>
          <w:t>Christensen &amp; Golino, 2021a</w:t>
        </w:r>
      </w:hyperlink>
      <w:r>
        <w:t xml:space="preserve">). Although the recommended removal threshold is </w:t>
      </w:r>
      <m:oMath>
        <m:r>
          <m:rPr>
            <m:sty m:val="p"/>
          </m:rPr>
          <w:rPr>
            <w:rFonts w:ascii="Cambria Math" w:hAnsi="Cambria Math"/>
          </w:rPr>
          <m:t>≥</m:t>
        </m:r>
      </m:oMath>
      <w: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 Finally, within each lower-level cluster, we selected the three items with the highest node centrality (i.e., the strongest loadings within the cluster). 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rPr>
          <w:t>Christensen &amp; Golino, 2021a</w:t>
        </w:r>
      </w:hyperlink>
      <w:r>
        <w:t xml:space="preserve">) indicates a robust dimension, whereas lower values suggest unstable, sample-dependent, or poorly defined dimensions. Lastly, we assessed model fit using the Generalized Total Entropy Fit Index (TEFI, </w:t>
      </w:r>
      <w:hyperlink w:anchor="ref-Golino02112021">
        <w:r>
          <w:rPr>
            <w:rStyle w:val="Hyperlink"/>
          </w:rPr>
          <w:t>H. Golino et al., 2021</w:t>
        </w:r>
      </w:hyperlink>
      <w:r>
        <w:t>), where higher values (i.e., values closer to zero) indicate better fit. We additionally conducted an exploratory factor analysis (EFA) following the same item-removal procedure and compared the resulting structure with the EGA solution to complement the psychometric network approach with a traditional factor-analytic framework.</w:t>
      </w:r>
    </w:p>
    <w:p w14:paraId="2CF85050" w14:textId="77777777" w:rsidR="009C6DB7" w:rsidRDefault="00000000">
      <w:pPr>
        <w:pStyle w:val="BodyText"/>
      </w:pPr>
      <w:r>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4D2DC6E8" w14:textId="77777777" w:rsidR="009C6DB7" w:rsidRDefault="00000000">
      <w:pPr>
        <w:pStyle w:val="Heading2"/>
      </w:pPr>
      <w:bookmarkStart w:id="10" w:name="results"/>
      <w:bookmarkEnd w:id="5"/>
      <w:bookmarkEnd w:id="9"/>
      <w:r>
        <w:lastRenderedPageBreak/>
        <w:t>Results</w:t>
      </w:r>
    </w:p>
    <w:p w14:paraId="703494CF" w14:textId="77777777" w:rsidR="009C6DB7"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2C3DC3EF" w14:textId="77777777" w:rsidR="009C6DB7" w:rsidRDefault="00000000">
      <w:pPr>
        <w:pStyle w:val="BodyText"/>
      </w:pPr>
      <w:r>
        <w:t xml:space="preserve">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 The final hierarchical EGA model (TEFI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Olfactory 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Of note, the dimension stability of the higher clusters showed low structure consistency for all high-order clusters (23%-47%). Within the factor-analytic framework, factor retention using oblimin rotation indicated both a 1-factor </w:t>
      </w:r>
      <w:r>
        <w:lastRenderedPageBreak/>
        <w:t>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solution broadly replicated the domain structure identified by EGA, it tended to yield slightly broader factors.</w:t>
      </w:r>
    </w:p>
    <w:p w14:paraId="58926FAE" w14:textId="77777777" w:rsidR="009C6DB7"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04D34779" w14:textId="77777777" w:rsidR="009C6DB7" w:rsidRDefault="00000000">
      <w:pPr>
        <w:pStyle w:val="Heading2"/>
      </w:pPr>
      <w:bookmarkStart w:id="11" w:name="discussion"/>
      <w:bookmarkEnd w:id="10"/>
      <w:r>
        <w:lastRenderedPageBreak/>
        <w:t>Discussion</w:t>
      </w:r>
    </w:p>
    <w:p w14:paraId="38699798" w14:textId="77777777" w:rsidR="009C6DB7"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45E96342" w14:textId="77777777" w:rsidR="009C6DB7" w:rsidRDefault="00000000">
      <w:pPr>
        <w:pStyle w:val="BodyText"/>
      </w:pPr>
      <w:r>
        <w:t xml:space="preserve">The resulting hierarchical structure offers </w:t>
      </w:r>
      <w:r>
        <w:rPr>
          <w:b/>
          <w:bCs/>
        </w:rPr>
        <w:t>interpretable insights</w:t>
      </w:r>
      <w:r>
        <w:t xml:space="preserve">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2591A7EE" w14:textId="77777777" w:rsidR="009C6DB7" w:rsidRDefault="00000000">
      <w:pPr>
        <w:pStyle w:val="BodyText"/>
      </w:pPr>
      <w:r>
        <w:rPr>
          <w:b/>
          <w:bCs/>
        </w:rPr>
        <w:t xml:space="preserve">Study 1 also examined whether item presentation, grouping by modality, facet, or randomly, affected the psychometric structure. No significant effects emerged, though a </w:t>
      </w:r>
      <w:r>
        <w:rPr>
          <w:b/>
          <w:bCs/>
        </w:rPr>
        <w:lastRenderedPageBreak/>
        <w:t>consistent trend suggested modality-based grouping may better reveal the underlying structure. This remains preliminary given per-condition sample sizes (</w:t>
      </w:r>
      <m:oMath>
        <m:r>
          <w:rPr>
            <w:rFonts w:ascii="Cambria Math" w:hAnsi="Cambria Math"/>
          </w:rPr>
          <m:t>N</m:t>
        </m:r>
        <m:r>
          <m:rPr>
            <m:sty m:val="p"/>
          </m:rPr>
          <w:rPr>
            <w:rFonts w:ascii="Cambria Math" w:hAnsi="Cambria Math"/>
          </w:rPr>
          <m:t>±</m:t>
        </m:r>
        <m:r>
          <w:rPr>
            <w:rFonts w:ascii="Cambria Math" w:hAnsi="Cambria Math"/>
          </w:rPr>
          <m:t>200</m:t>
        </m:r>
      </m:oMath>
      <w:r>
        <w:rPr>
          <w:b/>
          <w:bCs/>
        </w:rPr>
        <w:t>), but represents an under-investigated aspect of questionnaire design worthy of future research.</w:t>
      </w:r>
    </w:p>
    <w:p w14:paraId="5FE41DD7" w14:textId="77777777" w:rsidR="009C6DB7" w:rsidRDefault="00000000">
      <w:pPr>
        <w:pStyle w:val="Heading1"/>
      </w:pPr>
      <w:bookmarkStart w:id="12" w:name="X3ca031b32d4360f9d1f026d5353082086b82700"/>
      <w:bookmarkEnd w:id="4"/>
      <w:bookmarkEnd w:id="11"/>
      <w:r>
        <w:t>Study 2: Convergent and Criterion Validity</w:t>
      </w:r>
    </w:p>
    <w:p w14:paraId="4D59ACC7" w14:textId="77777777" w:rsidR="009C6DB7"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to </w:t>
      </w:r>
      <w:r>
        <w:rPr>
          <w:b/>
          <w:bCs/>
        </w:rPr>
        <w:t>examine the psychometric properties of Mint scores</w:t>
      </w:r>
      <w:r>
        <w:t xml:space="preserve"> and its relationship with existing measures in a large,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w:t>
      </w:r>
      <w:r>
        <w:rPr>
          <w:b/>
          <w:bCs/>
        </w:rPr>
        <w:t>the criterion validity of Mint scores</w:t>
      </w:r>
      <w:r>
        <w:t xml:space="preserve"> by directly comparing the predictive power of all interoception questionnaires across a broad range of outcomes, including emotional, cognitive, and clinical variables. 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044628CF" w14:textId="77777777" w:rsidR="009C6DB7" w:rsidRDefault="00000000">
      <w:pPr>
        <w:pStyle w:val="Heading2"/>
      </w:pPr>
      <w:bookmarkStart w:id="13" w:name="methods-1"/>
      <w:r>
        <w:lastRenderedPageBreak/>
        <w:t>Methods</w:t>
      </w:r>
    </w:p>
    <w:p w14:paraId="129850DD" w14:textId="77777777" w:rsidR="009C6DB7" w:rsidRDefault="00000000">
      <w:pPr>
        <w:pStyle w:val="Heading3"/>
      </w:pPr>
      <w:bookmarkStart w:id="14" w:name="participants-1"/>
      <w:r>
        <w:t>Participants</w:t>
      </w:r>
    </w:p>
    <w:p w14:paraId="7862E295" w14:textId="77777777" w:rsidR="009C6DB7" w:rsidRDefault="00000000">
      <w:pPr>
        <w:pStyle w:val="FirstParagraph"/>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1.63% non-binary; Country of residence: 75.17% United Kingdom, 24.83% other). Within this sample, 80.3% identified as White, 6.6% as Black, 4.9% as Mixed ethnicity, and 3.0% as South Asian and 4.3% as others. </w:t>
      </w:r>
      <w:r>
        <w:rPr>
          <w:b/>
          <w:bCs/>
        </w:rPr>
        <w:t>This study was approved by the University of Sussex’ Ethics Committee (ER/EB672/2).</w:t>
      </w:r>
    </w:p>
    <w:p w14:paraId="049B6618" w14:textId="77777777" w:rsidR="009C6DB7" w:rsidRDefault="00000000">
      <w:pPr>
        <w:pStyle w:val="Heading3"/>
      </w:pPr>
      <w:bookmarkStart w:id="15" w:name="measures"/>
      <w:bookmarkEnd w:id="14"/>
      <w:r>
        <w:t>Measures</w:t>
      </w:r>
    </w:p>
    <w:p w14:paraId="58A852DA" w14:textId="77777777" w:rsidR="009C6DB7" w:rsidRDefault="00000000">
      <w:pPr>
        <w:pStyle w:val="Heading4"/>
        <w:rPr>
          <w:vanish/>
          <w:specVanish/>
        </w:rPr>
      </w:pPr>
      <w:r>
        <w:t xml:space="preserve">Interoception Questionnaires. </w:t>
      </w:r>
    </w:p>
    <w:p w14:paraId="4C7F4E82" w14:textId="77777777" w:rsidR="009C6DB7"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t xml:space="preserve"> = 0.85), Interoceptive Deficit (</w:t>
      </w:r>
      <m:oMath>
        <m:r>
          <w:rPr>
            <w:rFonts w:ascii="Cambria Math" w:hAnsi="Cambria Math"/>
          </w:rPr>
          <m:t>ω</m:t>
        </m:r>
      </m:oMath>
      <w:r>
        <w:t xml:space="preserve"> =0.74), Visceroception (</w:t>
      </w:r>
      <m:oMath>
        <m:r>
          <w:rPr>
            <w:rFonts w:ascii="Cambria Math" w:hAnsi="Cambria Math"/>
          </w:rPr>
          <m:t>ω</m:t>
        </m:r>
      </m:oMath>
      <w:r>
        <w:t xml:space="preserve"> = 0.88).</w:t>
      </w:r>
    </w:p>
    <w:p w14:paraId="4AF3BED9" w14:textId="77777777" w:rsidR="009C6DB7"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xml:space="preserve">). It includes bodily dimensions such as Body Listening, Noticing, Emotional Awareness, dimensions related to emotion regulation, such as Trust, Not-worrying, and Self-Regulation, as </w:t>
      </w:r>
      <w:r>
        <w:lastRenderedPageBreak/>
        <w:t>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The subscales of the MAIA-2 showed an acceptable to good internal consistency: </w:t>
      </w:r>
      <m:oMath>
        <m:r>
          <w:rPr>
            <w:rFonts w:ascii="Cambria Math" w:hAnsi="Cambria Math"/>
          </w:rPr>
          <m:t>ω</m:t>
        </m:r>
      </m:oMath>
      <w:r>
        <w:t xml:space="preserve"> Attention regulation = 0.87, </w:t>
      </w:r>
      <m:oMath>
        <m:r>
          <w:rPr>
            <w:rFonts w:ascii="Cambria Math" w:hAnsi="Cambria Math"/>
          </w:rPr>
          <m:t>ω</m:t>
        </m:r>
      </m:oMath>
      <w:r>
        <w:t xml:space="preserve"> Body listening = 0.76, </w:t>
      </w:r>
      <m:oMath>
        <m:r>
          <w:rPr>
            <w:rFonts w:ascii="Cambria Math" w:hAnsi="Cambria Math"/>
          </w:rPr>
          <m:t>ω</m:t>
        </m:r>
      </m:oMath>
      <w:r>
        <w:t xml:space="preserve"> Emotional awareness = 0.79, </w:t>
      </w:r>
      <m:oMath>
        <m:r>
          <w:rPr>
            <w:rFonts w:ascii="Cambria Math" w:hAnsi="Cambria Math"/>
          </w:rPr>
          <m:t>ω</m:t>
        </m:r>
      </m:oMath>
      <w:r>
        <w:t xml:space="preserve"> Not-distracting = 0.80, </w:t>
      </w:r>
      <m:oMath>
        <m:r>
          <w:rPr>
            <w:rFonts w:ascii="Cambria Math" w:hAnsi="Cambria Math"/>
          </w:rPr>
          <m:t>ω</m:t>
        </m:r>
      </m:oMath>
      <w:r>
        <w:t xml:space="preserve"> Noticing = 0.68, </w:t>
      </w:r>
      <m:oMath>
        <m:r>
          <w:rPr>
            <w:rFonts w:ascii="Cambria Math" w:hAnsi="Cambria Math"/>
          </w:rPr>
          <m:t>ω</m:t>
        </m:r>
      </m:oMath>
      <w:r>
        <w:t xml:space="preserve"> Not-worrying = 0.79, </w:t>
      </w:r>
      <m:oMath>
        <m:r>
          <w:rPr>
            <w:rFonts w:ascii="Cambria Math" w:hAnsi="Cambria Math"/>
          </w:rPr>
          <m:t>ω</m:t>
        </m:r>
      </m:oMath>
      <w:r>
        <w:t xml:space="preserve"> Self regulation = 0.84, and </w:t>
      </w:r>
      <m:oMath>
        <m:r>
          <w:rPr>
            <w:rFonts w:ascii="Cambria Math" w:hAnsi="Cambria Math"/>
          </w:rPr>
          <m:t>ω</m:t>
        </m:r>
      </m:oMath>
      <w:r>
        <w:t xml:space="preserve"> Trusting = 0.84.</w:t>
      </w:r>
    </w:p>
    <w:p w14:paraId="03ED5AB6" w14:textId="77777777" w:rsidR="009C6DB7"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Internal consistency for the BPQ-Awareness was good (</w:t>
      </w:r>
      <m:oMath>
        <m:r>
          <w:rPr>
            <w:rFonts w:ascii="Cambria Math" w:hAnsi="Cambria Math"/>
          </w:rPr>
          <m:t>ω</m:t>
        </m:r>
      </m:oMath>
      <w:r>
        <w:t xml:space="preserve"> = 0.91).</w:t>
      </w:r>
    </w:p>
    <w:p w14:paraId="43BD9D5B" w14:textId="77777777" w:rsidR="009C6DB7" w:rsidRDefault="00000000">
      <w:pPr>
        <w:pStyle w:val="BodyText"/>
      </w:pPr>
      <w:r>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The IAS had good internal consistency (</w:t>
      </w:r>
      <m:oMath>
        <m:r>
          <w:rPr>
            <w:rFonts w:ascii="Cambria Math" w:hAnsi="Cambria Math"/>
          </w:rPr>
          <m:t>ω</m:t>
        </m:r>
      </m:oMath>
      <w:r>
        <w:t xml:space="preserve"> = 0.88).</w:t>
      </w:r>
    </w:p>
    <w:p w14:paraId="5C4A9076" w14:textId="77777777" w:rsidR="009C6DB7" w:rsidRDefault="00000000">
      <w:pPr>
        <w:pStyle w:val="Heading4"/>
        <w:rPr>
          <w:vanish/>
          <w:specVanish/>
        </w:rPr>
      </w:pPr>
      <w:r>
        <w:t xml:space="preserve">Emotions and Cognition. </w:t>
      </w:r>
    </w:p>
    <w:p w14:paraId="3394E7FE" w14:textId="77777777" w:rsidR="009C6DB7"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In this study, the TAS subscales showed poor to acceptable internal consistency: </w:t>
      </w:r>
      <m:oMath>
        <m:r>
          <w:rPr>
            <w:rFonts w:ascii="Cambria Math" w:hAnsi="Cambria Math"/>
          </w:rPr>
          <m:t>ω</m:t>
        </m:r>
      </m:oMath>
      <w:r>
        <w:t xml:space="preserve"> DIF = 0.77, </w:t>
      </w:r>
      <m:oMath>
        <m:r>
          <w:rPr>
            <w:rFonts w:ascii="Cambria Math" w:hAnsi="Cambria Math"/>
          </w:rPr>
          <m:t>ω</m:t>
        </m:r>
      </m:oMath>
      <w:r>
        <w:t xml:space="preserve"> DDF = 0.53 and </w:t>
      </w:r>
      <m:oMath>
        <m:r>
          <w:rPr>
            <w:rFonts w:ascii="Cambria Math" w:hAnsi="Cambria Math"/>
          </w:rPr>
          <m:t>ω</m:t>
        </m:r>
      </m:oMath>
      <w:r>
        <w:t xml:space="preserve"> EOT = 0.69.</w:t>
      </w:r>
    </w:p>
    <w:p w14:paraId="7294CF0A" w14:textId="77777777" w:rsidR="009C6DB7"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 xml:space="preserve">“When I am angry/upset, it takes me much longer than most </w:t>
      </w:r>
      <w:r>
        <w:rPr>
          <w:i/>
          <w:iCs/>
        </w:rPr>
        <w:lastRenderedPageBreak/>
        <w:t>people to calm down”</w:t>
      </w:r>
      <w:r>
        <w:t xml:space="preserve">). The subscales of the B-ERS showed acceptable to good internal consistency: </w:t>
      </w:r>
      <m:oMath>
        <m:r>
          <w:rPr>
            <w:rFonts w:ascii="Cambria Math" w:hAnsi="Cambria Math"/>
          </w:rPr>
          <m:t>ω</m:t>
        </m:r>
      </m:oMath>
      <w:r>
        <w:t xml:space="preserve"> Arousal = 0.76, </w:t>
      </w:r>
      <m:oMath>
        <m:r>
          <w:rPr>
            <w:rFonts w:ascii="Cambria Math" w:hAnsi="Cambria Math"/>
          </w:rPr>
          <m:t>ω</m:t>
        </m:r>
      </m:oMath>
      <w:r>
        <w:t xml:space="preserve"> Sensitivity = 0.90 and </w:t>
      </w:r>
      <m:oMath>
        <m:r>
          <w:rPr>
            <w:rFonts w:ascii="Cambria Math" w:hAnsi="Cambria Math"/>
          </w:rPr>
          <m:t>ω</m:t>
        </m:r>
      </m:oMath>
      <w:r>
        <w:t xml:space="preserve"> Persistence = 0.74.</w:t>
      </w:r>
    </w:p>
    <w:p w14:paraId="51D7B5AE" w14:textId="77777777" w:rsidR="009C6DB7"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m:oMath>
        <m:r>
          <w:rPr>
            <w:rFonts w:ascii="Cambria Math" w:hAnsi="Cambria Math"/>
          </w:rPr>
          <m:t>ω</m:t>
        </m:r>
      </m:oMath>
      <w:r>
        <w:t xml:space="preserve"> = 0.8), Rumination (</w:t>
      </w:r>
      <m:oMath>
        <m:r>
          <w:rPr>
            <w:rFonts w:ascii="Cambria Math" w:hAnsi="Cambria Math"/>
          </w:rPr>
          <m:t>ω</m:t>
        </m:r>
      </m:oMath>
      <w:r>
        <w:t xml:space="preserve"> = 0.61), Catastrophizing (</w:t>
      </w:r>
      <m:oMath>
        <m:r>
          <w:rPr>
            <w:rFonts w:ascii="Cambria Math" w:hAnsi="Cambria Math"/>
          </w:rPr>
          <m:t>ω</m:t>
        </m:r>
      </m:oMath>
      <w:r>
        <w:t xml:space="preserve"> = 0.84), Putting into Perspective (</w:t>
      </w:r>
      <m:oMath>
        <m:r>
          <w:rPr>
            <w:rFonts w:ascii="Cambria Math" w:hAnsi="Cambria Math"/>
          </w:rPr>
          <m:t>ω</m:t>
        </m:r>
      </m:oMath>
      <w:r>
        <w:t xml:space="preserve"> = 0.70), Positive Refocusing (</w:t>
      </w:r>
      <m:oMath>
        <m:r>
          <w:rPr>
            <w:rFonts w:ascii="Cambria Math" w:hAnsi="Cambria Math"/>
          </w:rPr>
          <m:t>ω</m:t>
        </m:r>
      </m:oMath>
      <w:r>
        <w:t xml:space="preserve"> = 0.80), Positive Reappraisal (</w:t>
      </w:r>
      <m:oMath>
        <m:r>
          <w:rPr>
            <w:rFonts w:ascii="Cambria Math" w:hAnsi="Cambria Math"/>
          </w:rPr>
          <m:t>ω</m:t>
        </m:r>
      </m:oMath>
      <w:r>
        <w:t xml:space="preserve"> = 0.75), Acceptance (</w:t>
      </w:r>
      <m:oMath>
        <m:r>
          <w:rPr>
            <w:rFonts w:ascii="Cambria Math" w:hAnsi="Cambria Math"/>
          </w:rPr>
          <m:t>ω</m:t>
        </m:r>
      </m:oMath>
      <w:r>
        <w:t xml:space="preserve"> = 0.75), and Planning (</w:t>
      </w:r>
      <m:oMath>
        <m:r>
          <w:rPr>
            <w:rFonts w:ascii="Cambria Math" w:hAnsi="Cambria Math"/>
          </w:rPr>
          <m:t>ω</m:t>
        </m:r>
      </m:oMath>
      <w:r>
        <w:t xml:space="preserve"> = 0.66). The internal consistency for these dimensions ranged from acceptable to good.</w:t>
      </w:r>
    </w:p>
    <w:p w14:paraId="5B61C893" w14:textId="77777777" w:rsidR="009C6DB7" w:rsidRDefault="00000000">
      <w:pPr>
        <w:pStyle w:val="BodyText"/>
      </w:pPr>
      <w:r>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This scale is designed to measure dissociative experiences in adolescence and adulthood, specifically focusing on the felt sense of anomaly-type dissociation. It includes Anomalous Experience of the Self (</w:t>
      </w:r>
      <m:oMath>
        <m:r>
          <w:rPr>
            <w:rFonts w:ascii="Cambria Math" w:hAnsi="Cambria Math"/>
          </w:rPr>
          <m:t>ω</m:t>
        </m:r>
      </m:oMath>
      <w:r>
        <w:t xml:space="preserve"> = 0.75), Anomalous Experience of the Body (</w:t>
      </w:r>
      <m:oMath>
        <m:r>
          <w:rPr>
            <w:rFonts w:ascii="Cambria Math" w:hAnsi="Cambria Math"/>
          </w:rPr>
          <m:t>ω</m:t>
        </m:r>
      </m:oMath>
      <w:r>
        <w:t xml:space="preserve"> = 0.77), Anomalous Experiences of Emotion (</w:t>
      </w:r>
      <m:oMath>
        <m:r>
          <w:rPr>
            <w:rFonts w:ascii="Cambria Math" w:hAnsi="Cambria Math"/>
          </w:rPr>
          <m:t>ω</m:t>
        </m:r>
      </m:oMath>
      <w:r>
        <w:t xml:space="preserve"> = 0.81), Altered Sense of Familiarity (</w:t>
      </w:r>
      <m:oMath>
        <m:r>
          <w:rPr>
            <w:rFonts w:ascii="Cambria Math" w:hAnsi="Cambria Math"/>
          </w:rPr>
          <m:t>ω</m:t>
        </m:r>
      </m:oMath>
      <w:r>
        <w:t xml:space="preserve"> = 0.72), Altered Sense of Connection (</w:t>
      </w:r>
      <m:oMath>
        <m:r>
          <w:rPr>
            <w:rFonts w:ascii="Cambria Math" w:hAnsi="Cambria Math"/>
          </w:rPr>
          <m:t>ω</m:t>
        </m:r>
      </m:oMath>
      <w:r>
        <w:t xml:space="preserve"> = 0.86), Altered Sense of Agency (</w:t>
      </w:r>
      <m:oMath>
        <m:r>
          <w:rPr>
            <w:rFonts w:ascii="Cambria Math" w:hAnsi="Cambria Math"/>
          </w:rPr>
          <m:t>ω</m:t>
        </m:r>
      </m:oMath>
      <w:r>
        <w:t xml:space="preserve"> = 0.78), and Altered Sense of Reality (</w:t>
      </w:r>
      <m:oMath>
        <m:r>
          <w:rPr>
            <w:rFonts w:ascii="Cambria Math" w:hAnsi="Cambria Math"/>
          </w:rPr>
          <m:t>ω</m:t>
        </m:r>
      </m:oMath>
      <w:r>
        <w:t xml:space="preserve"> = 0.58). The internal consistency of the subscales were mostly good with the exception of Sense of Reality.</w:t>
      </w:r>
    </w:p>
    <w:p w14:paraId="51588C9D" w14:textId="77777777" w:rsidR="009C6DB7"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In this study, the internal consistency of the subscales were all good: </w:t>
      </w:r>
      <m:oMath>
        <m:r>
          <w:rPr>
            <w:rFonts w:ascii="Cambria Math" w:hAnsi="Cambria Math"/>
          </w:rPr>
          <m:t>ω</m:t>
        </m:r>
      </m:oMath>
      <w:r>
        <w:t xml:space="preserve"> Good = 0.84, </w:t>
      </w:r>
      <m:oMath>
        <m:r>
          <w:rPr>
            <w:rFonts w:ascii="Cambria Math" w:hAnsi="Cambria Math"/>
          </w:rPr>
          <m:t>ω</m:t>
        </m:r>
      </m:oMath>
      <w:r>
        <w:t xml:space="preserve"> Safe = 0.80, </w:t>
      </w:r>
      <m:oMath>
        <m:r>
          <w:rPr>
            <w:rFonts w:ascii="Cambria Math" w:hAnsi="Cambria Math"/>
          </w:rPr>
          <m:t>ω</m:t>
        </m:r>
      </m:oMath>
      <w:r>
        <w:t xml:space="preserve"> Enticing = 0.80 and </w:t>
      </w:r>
      <m:oMath>
        <m:r>
          <w:rPr>
            <w:rFonts w:ascii="Cambria Math" w:hAnsi="Cambria Math"/>
          </w:rPr>
          <m:t>ω</m:t>
        </m:r>
      </m:oMath>
      <w:r>
        <w:t xml:space="preserve"> Alive = 0.84.</w:t>
      </w:r>
    </w:p>
    <w:p w14:paraId="4D173B60" w14:textId="77777777" w:rsidR="009C6DB7" w:rsidRDefault="00000000">
      <w:pPr>
        <w:pStyle w:val="Heading4"/>
        <w:rPr>
          <w:vanish/>
          <w:specVanish/>
        </w:rPr>
      </w:pPr>
      <w:r>
        <w:lastRenderedPageBreak/>
        <w:t xml:space="preserve">Health and Wellbeing. </w:t>
      </w:r>
    </w:p>
    <w:p w14:paraId="0F4DB1A3" w14:textId="77777777" w:rsidR="009C6DB7"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which adds an additional response option (“Once or twice”), increasing sensitivity to subclinical fluctuations. PhQ-Anxiety showed excellent reliability (</w:t>
      </w:r>
      <m:oMath>
        <m:r>
          <w:rPr>
            <w:rFonts w:ascii="Cambria Math" w:hAnsi="Cambria Math"/>
          </w:rPr>
          <m:t>ω</m:t>
        </m:r>
      </m:oMath>
      <w:r>
        <w:t xml:space="preserve"> = 0.91) and PHQ-Depression showed good reliability ( </w:t>
      </w:r>
      <m:oMath>
        <m:r>
          <w:rPr>
            <w:rFonts w:ascii="Cambria Math" w:hAnsi="Cambria Math"/>
          </w:rPr>
          <m:t>ω</m:t>
        </m:r>
      </m:oMath>
      <w:r>
        <w:t xml:space="preserve"> = 0.84).</w:t>
      </w:r>
    </w:p>
    <w:p w14:paraId="32A472F0" w14:textId="77777777" w:rsidR="009C6DB7" w:rsidRDefault="00000000">
      <w:pPr>
        <w:pStyle w:val="BodyText"/>
      </w:pPr>
      <w:r>
        <w:t>Participants were asked to self-report any current, medically diagnosed psychiatric disorders using a checklist based on DSM-5 categories. If one or more conditions were endorsed, participants were asked to indicate any current treatments, including pharmacological (e.g., 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69DA27EB" w14:textId="77777777" w:rsidR="009C6DB7"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w:t>
      </w:r>
      <w:r>
        <w:lastRenderedPageBreak/>
        <w:t xml:space="preserve">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gastroesophageal reflux disease (GERD), multiple sclerosis, and Sjögren’s syndrome. We scored each cluster as a binary variable based on whether the participant selected at least one symptom from that cluster. </w:t>
      </w:r>
    </w:p>
    <w:p w14:paraId="713A4E31" w14:textId="77777777" w:rsidR="009C6DB7" w:rsidRDefault="00000000">
      <w:pPr>
        <w:pStyle w:val="Heading4"/>
        <w:rPr>
          <w:vanish/>
          <w:specVanish/>
        </w:rPr>
      </w:pPr>
      <w:r>
        <w:t xml:space="preserve">Lifestyle. </w:t>
      </w:r>
    </w:p>
    <w:p w14:paraId="64D69640" w14:textId="77777777" w:rsidR="009C6DB7" w:rsidRDefault="00000000">
      <w:pPr>
        <w:pStyle w:val="BodyText"/>
      </w:pPr>
      <w:r>
        <w:t xml:space="preserve">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 </w:t>
      </w:r>
      <w:r>
        <w:rPr>
          <w:b/>
          <w:bCs/>
        </w:rPr>
        <w:t>Participants were asked to rate how physically active they consider themselves and how many hours of active workout they engage in per week. Participant’s BMI was computed using height and weight.</w:t>
      </w:r>
    </w:p>
    <w:p w14:paraId="174EF72F" w14:textId="77777777" w:rsidR="009C6DB7" w:rsidRDefault="00000000">
      <w:pPr>
        <w:pStyle w:val="Heading3"/>
      </w:pPr>
      <w:bookmarkStart w:id="16" w:name="procedure-1"/>
      <w:bookmarkEnd w:id="15"/>
      <w:r>
        <w:t>Procedure</w:t>
      </w:r>
    </w:p>
    <w:p w14:paraId="4B6D890F" w14:textId="77777777" w:rsidR="009C6DB7" w:rsidRDefault="00000000">
      <w:pPr>
        <w:pStyle w:val="FirstParagraph"/>
      </w:pPr>
      <w:r>
        <w:t xml:space="preserve">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w:t>
      </w:r>
      <w:r>
        <w:lastRenderedPageBreak/>
        <w:t xml:space="preserve">demographic questions, participants always started with the Mint scale, and each following interoception questionnaire was interspersed with two questionnaires from the emotions and pathology groups. 7 attention checks were embedded throughout (one within each major questionnaire). 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the highest option” (PI-18); and “I feel that to show I am being attentive I will press the lowest option” (CEFSA-14). To make the </w:t>
      </w:r>
      <w:r>
        <w:lastRenderedPageBreak/>
        <w:t>experiment more enjoyable, the experiment ended with a radar chart summarizing the participants’ responses to the Mint scale</w:t>
      </w:r>
      <w:r>
        <w:rPr>
          <w:rStyle w:val="FootnoteReference"/>
        </w:rPr>
        <w:footnoteReference w:id="2"/>
      </w:r>
      <w:r>
        <w:t xml:space="preserve">. </w:t>
      </w:r>
    </w:p>
    <w:p w14:paraId="442FED20" w14:textId="77777777" w:rsidR="009C6DB7" w:rsidRDefault="00000000">
      <w:pPr>
        <w:pStyle w:val="Heading3"/>
      </w:pPr>
      <w:bookmarkStart w:id="17" w:name="data-analysis-1"/>
      <w:bookmarkEnd w:id="16"/>
      <w:r>
        <w:t>Data Analysis</w:t>
      </w:r>
    </w:p>
    <w:p w14:paraId="7DA8B4F2" w14:textId="77777777" w:rsidR="009C6DB7"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Descriptive statistics were calculated for each cluster, and potential demographic differences were examined using independent-samples t-tests. The </w:t>
      </w:r>
      <w:r>
        <w:rPr>
          <w:b/>
          <w:bCs/>
        </w:rPr>
        <w:t>convergent validity of scores from the final set of items</w:t>
      </w:r>
      <w:r>
        <w:t xml:space="preserve"> was assessed by computing the correlations between the Mint scale and the other interoception questionnaires (MAIA, BPQ, IAS).</w:t>
      </w:r>
    </w:p>
    <w:p w14:paraId="4C329D54" w14:textId="77777777" w:rsidR="009C6DB7" w:rsidRDefault="00000000">
      <w:pPr>
        <w:pStyle w:val="BodyText"/>
      </w:pPr>
      <w:r>
        <w:lastRenderedPageBreak/>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4CCA6B45" w14:textId="77777777" w:rsidR="009C6DB7"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0C82020C" w14:textId="77777777" w:rsidR="009C6DB7" w:rsidRDefault="00000000">
      <w:pPr>
        <w:pStyle w:val="Heading2"/>
      </w:pPr>
      <w:bookmarkStart w:id="18" w:name="results-1"/>
      <w:bookmarkEnd w:id="13"/>
      <w:bookmarkEnd w:id="17"/>
      <w:r>
        <w:t>Results</w:t>
      </w:r>
    </w:p>
    <w:p w14:paraId="729540E0" w14:textId="77777777" w:rsidR="009C6DB7"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with the </w:t>
      </w:r>
      <w:r>
        <w:rPr>
          <w:i/>
          <w:iCs/>
        </w:rPr>
        <w:lastRenderedPageBreak/>
        <w:t>CaCo</w:t>
      </w:r>
      <w:r>
        <w:t xml:space="preserve"> (Cardiorespiratory Confusion) cluster. </w:t>
      </w:r>
      <w:r>
        <w:rPr>
          <w:b/>
          <w:bCs/>
        </w:rPr>
        <w:t>We considered a 45-item scale overly lengthy given the aims of the instrument, and following a further evaluation of item redundancy, conceptual overlap, and face validity (e.g., Sexual Organs Sensitivity items overlapped with Sexual Arousal Awareness items), reduced the pool to 33 items.</w:t>
      </w:r>
    </w:p>
    <w:p w14:paraId="62E6CC41" w14:textId="77777777" w:rsidR="009C6DB7" w:rsidRDefault="00000000">
      <w:pPr>
        <w:pStyle w:val="BodyText"/>
      </w:pPr>
      <w:r>
        <w:t xml:space="preserve">The final set of 33 items yielded a good fit (TEFI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rPr>
          <w:t>Figure 7</w:t>
        </w:r>
      </w:hyperlink>
      <w:r>
        <w:t xml:space="preserve"> presents gender differences across these clusters. The largest metacluster-level difference was observed for Interoceptive Awareness, whereas the largest lower-level difference was found for Cardiorespiratory Confusion. Item centrality (interpretable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p>
    <w:p w14:paraId="4B36D59F" w14:textId="77777777" w:rsidR="009C6DB7" w:rsidRDefault="00000000">
      <w:pPr>
        <w:pStyle w:val="BodyText"/>
      </w:pPr>
      <w:r>
        <w:rPr>
          <w:b/>
          <w:bCs/>
        </w:rPr>
        <w:t>The Interoceptive Awareness metacluster captures self-perceived awareness of specific bodily states. We use “awareness” broadly, meaning general bodily states accessible to self-report, not the accuracy–metacognition correspondence of Garfinkel et al. (</w:t>
      </w:r>
      <w:hyperlink w:anchor="ref-garfinkel2015knowing">
        <w:r>
          <w:rPr>
            <w:rStyle w:val="Hyperlink"/>
            <w:b/>
            <w:bCs/>
          </w:rPr>
          <w:t>2015</w:t>
        </w:r>
      </w:hyperlink>
      <w:r>
        <w:rPr>
          <w:b/>
          <w:bCs/>
        </w:rPr>
        <w:t xml:space="preserve">), and its items assess perceived awareness of relaxation (RelA), sexual arousal (SexS), and impending expulsive events (ExAc; e.g., burping, sneezing, or flatulence). The </w:t>
      </w:r>
      <w:r>
        <w:rPr>
          <w:b/>
          <w:bCs/>
        </w:rPr>
        <w:lastRenderedPageBreak/>
        <w:t>Interoceptive Deficit metacluster reflects difficulties, uncertainty, or inaccuracies in recognising internal bodily signals, capturing confusion about cardiorespiratory sensations (CaCo), uncertainty about urinary or gastrointestinal needs (UrIn), delayed recognition of hunger or thirst (Sati), reliance on external cues such as body odours (Olfa), and heightened dermal sensitivity (Derm). Finally, Visceroception captures the self-reported tendency to notice visceral sensations (cf. interoceptive sensibility, Khalsa et al., 2018), specifically cardiac (Card), respiratory (Resp), and gastric (Gast) signals.</w:t>
      </w:r>
    </w:p>
    <w:p w14:paraId="11ADFFD8" w14:textId="77777777" w:rsidR="009C6DB7" w:rsidRDefault="00000000">
      <w:pPr>
        <w:pStyle w:val="BodyText"/>
      </w:pPr>
      <w:r>
        <w:t>Lastly, to complement EGA, we conducted factor analysis on the final 33 items using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t>) and explained only 30% of the variance. The next-best nine-factor solution demonstrated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t>) and explained 56.88% of the total variance. This solution comprised eight 3-item factors (Gastroception,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EGA lower-level clusters, with the main difference being that cardiorespiratory items loaded onto a single factor rather than forming separate clusters.</w:t>
      </w:r>
    </w:p>
    <w:p w14:paraId="5B3CB518" w14:textId="77777777" w:rsidR="009C6DB7" w:rsidRDefault="00000000">
      <w:pPr>
        <w:pStyle w:val="Heading4"/>
        <w:rPr>
          <w:vanish/>
          <w:specVanish/>
        </w:rPr>
      </w:pPr>
      <w:r>
        <w:lastRenderedPageBreak/>
        <w:t xml:space="preserve">Mint. </w:t>
      </w:r>
    </w:p>
    <w:p w14:paraId="42FC3954" w14:textId="77777777" w:rsidR="009C6DB7" w:rsidRDefault="00000000">
      <w:pPr>
        <w:pStyle w:val="BodyText"/>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61301CA9" w14:textId="77777777" w:rsidR="009C6DB7" w:rsidRDefault="00000000">
      <w:pPr>
        <w:pStyle w:val="Heading4"/>
        <w:rPr>
          <w:vanish/>
          <w:specVanish/>
        </w:rPr>
      </w:pPr>
      <w:r>
        <w:lastRenderedPageBreak/>
        <w:t xml:space="preserve">Interoception Questionnaires. </w:t>
      </w:r>
    </w:p>
    <w:p w14:paraId="0DC874BC" w14:textId="77777777" w:rsidR="009C6DB7" w:rsidRDefault="00000000">
      <w:pPr>
        <w:pStyle w:val="BodyText"/>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5E331501" w14:textId="77777777" w:rsidR="009C6DB7" w:rsidRDefault="00000000">
      <w:pPr>
        <w:pStyle w:val="Heading4"/>
        <w:rPr>
          <w:vanish/>
          <w:specVanish/>
        </w:rPr>
      </w:pPr>
      <w:r>
        <w:lastRenderedPageBreak/>
        <w:t xml:space="preserve">Emotions and Cognition. </w:t>
      </w:r>
    </w:p>
    <w:p w14:paraId="68B9B6DB" w14:textId="77777777" w:rsidR="009C6DB7" w:rsidRDefault="00000000">
      <w:pPr>
        <w:pStyle w:val="BodyText"/>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37A8D430" w14:textId="77777777" w:rsidR="009C6DB7"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For example, </w:t>
      </w:r>
      <w:r>
        <w:rPr>
          <w:i/>
          <w:iCs/>
        </w:rPr>
        <w:t>Deficit</w:t>
      </w:r>
      <w: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3%). Remaining model fits can be reviewed in the data analysis folder project’s GitHub repository. Model comparison included the full </w:t>
      </w:r>
      <w:r>
        <w:rPr>
          <w:i/>
          <w:iCs/>
        </w:rPr>
        <w:t>Mint</w:t>
      </w:r>
      <w:r>
        <w:t xml:space="preserve"> (including all lower-level clusters - 33 items), and the analysis confirmed the clear advantage for the Mint over the other interoception scales. The full </w:t>
      </w:r>
      <w:r>
        <w:rPr>
          <w:i/>
          <w:iCs/>
        </w:rPr>
        <w:t>Mint</w:t>
      </w:r>
      <w:r>
        <w:t xml:space="preserve"> model was typically the best model based on R2. Moreover, most of the instances where the </w:t>
      </w:r>
      <w:r>
        <w:rPr>
          <w:i/>
          <w:iCs/>
        </w:rPr>
        <w:t>MAIA</w:t>
      </w:r>
      <w:r>
        <w:t xml:space="preserve"> was the best model </w:t>
      </w:r>
      <w:r>
        <w:lastRenderedPageBreak/>
        <w:t xml:space="preserve">were explainable by the inclusion of Trusting, and the interoception-only version </w:t>
      </w:r>
      <w:r>
        <w:rPr>
          <w:i/>
          <w:iCs/>
        </w:rPr>
        <w:t>iMAIA</w:t>
      </w:r>
      <w:r>
        <w:t xml:space="preserve"> typically yielded worse performance than the Mint.</w:t>
      </w:r>
    </w:p>
    <w:p w14:paraId="62E10D1A" w14:textId="77777777" w:rsidR="009C6DB7" w:rsidRDefault="00000000">
      <w:pPr>
        <w:pStyle w:val="Heading4"/>
        <w:rPr>
          <w:vanish/>
          <w:specVanish/>
        </w:rPr>
      </w:pPr>
      <w:r>
        <w:t xml:space="preserve">Health, Wellbeing and Lifestyle. </w:t>
      </w:r>
    </w:p>
    <w:p w14:paraId="6EC08C36" w14:textId="77777777" w:rsidR="009C6DB7" w:rsidRDefault="00000000">
      <w:pPr>
        <w:pStyle w:val="BodyText"/>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t>
      </w:r>
      <w:r>
        <w:rPr>
          <w:b/>
          <w:bCs/>
        </w:rPr>
        <w:t xml:space="preserve">where the </w:t>
      </w:r>
      <w:r>
        <w:rPr>
          <w:b/>
          <w:bCs/>
          <w:i/>
          <w:iCs/>
        </w:rPr>
        <w:t>Mint</w:t>
      </w:r>
      <w:r>
        <w:rPr>
          <w:b/>
          <w:bCs/>
        </w:rPr>
        <w:t xml:space="preserve"> and </w:t>
      </w:r>
      <w:r>
        <w:rPr>
          <w:b/>
          <w:bCs/>
          <w:i/>
          <w:iCs/>
        </w:rPr>
        <w:t>MAIA</w:t>
      </w:r>
      <w:r>
        <w:rPr>
          <w:b/>
          <w:bCs/>
        </w:rPr>
        <w:t xml:space="preserve"> performed comparitively).</w:t>
      </w:r>
    </w:p>
    <w:p w14:paraId="6BCFF7CA" w14:textId="77777777" w:rsidR="009C6DB7"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2461EA1C" w14:textId="77777777" w:rsidR="009C6DB7" w:rsidRDefault="00000000">
      <w:pPr>
        <w:pStyle w:val="Heading2"/>
      </w:pPr>
      <w:bookmarkStart w:id="19" w:name="discussion-1"/>
      <w:bookmarkEnd w:id="18"/>
      <w:r>
        <w:t>Discussion</w:t>
      </w:r>
    </w:p>
    <w:p w14:paraId="5B5EF309" w14:textId="77777777" w:rsidR="009C6DB7" w:rsidRDefault="00000000">
      <w:pPr>
        <w:pStyle w:val="FirstParagraph"/>
      </w:pPr>
      <w:r>
        <w:rPr>
          <w:b/>
          <w:bCs/>
        </w:rPr>
        <w:t>Study 2 sought to formally evaluate the convergent and criterion validity of the Mint in a large, independent sample. The analysis confirmed a final and stable 33-item version with 11 lower-level clusters grouped into three metaclusters (</w:t>
      </w:r>
      <w:r>
        <w:rPr>
          <w:b/>
          <w:bCs/>
          <w:i/>
          <w:iCs/>
        </w:rPr>
        <w:t>Interoceptive Deficit</w:t>
      </w:r>
      <w:r>
        <w:rPr>
          <w:b/>
          <w:bCs/>
        </w:rPr>
        <w:t xml:space="preserve">, </w:t>
      </w:r>
      <w:r>
        <w:rPr>
          <w:b/>
          <w:bCs/>
          <w:i/>
          <w:iCs/>
        </w:rPr>
        <w:t>Interoceptive Awareness</w:t>
      </w:r>
      <w:r>
        <w:rPr>
          <w:b/>
          <w:bCs/>
        </w:rPr>
        <w:t xml:space="preserve">, </w:t>
      </w:r>
      <w:r>
        <w:rPr>
          <w:b/>
          <w:bCs/>
          <w:i/>
          <w:iCs/>
        </w:rPr>
        <w:t>Visceroception</w:t>
      </w:r>
      <w:r>
        <w:rPr>
          <w:b/>
          <w:bCs/>
        </w:rPr>
        <w:t xml:space="preserve">). Structure re-validation is an important step following item reduction, as removing items can alter the perceived meaning and relationships among those that remain. The mostly successful replication across an independent sample is therefore an encouraging indicator of structural robustness. The </w:t>
      </w:r>
      <w:r>
        <w:rPr>
          <w:b/>
          <w:bCs/>
        </w:rPr>
        <w:lastRenderedPageBreak/>
        <w:t xml:space="preserve">exception was the </w:t>
      </w:r>
      <w:r>
        <w:rPr>
          <w:b/>
          <w:bCs/>
          <w:i/>
          <w:iCs/>
        </w:rPr>
        <w:t>Olfa</w:t>
      </w:r>
      <w:r>
        <w:rPr>
          <w:b/>
          <w:bCs/>
        </w:rPr>
        <w:t xml:space="preserve"> (Olfactory Contribution) cluster, which showed lower stability within the </w:t>
      </w:r>
      <w:r>
        <w:rPr>
          <w:b/>
          <w:bCs/>
          <w:i/>
          <w:iCs/>
        </w:rPr>
        <w:t>Deficit</w:t>
      </w:r>
      <w:r>
        <w:rPr>
          <w:b/>
          <w:bCs/>
        </w:rPr>
        <w:t xml:space="preserve"> metacluster, suggesting a more nuanced role. For instance, this cluster could be related to adaptive compensatory processes in some participants and maladaptive strategies in others. Future studies should further investigate its place and invariance across different populations and contexts.</w:t>
      </w:r>
    </w:p>
    <w:p w14:paraId="649E8951" w14:textId="77777777" w:rsidR="009C6DB7" w:rsidRDefault="00000000">
      <w:pPr>
        <w:pStyle w:val="BodyText"/>
      </w:pPr>
      <w:r>
        <w:rPr>
          <w:b/>
          <w:bCs/>
        </w:rPr>
        <w:t xml:space="preserve">The criterion validity analysis revealed a consistent advantage for the Mint, particularly its </w:t>
      </w:r>
      <w:r>
        <w:rPr>
          <w:b/>
          <w:bCs/>
          <w:i/>
          <w:iCs/>
        </w:rPr>
        <w:t>Deficit</w:t>
      </w:r>
      <w:r>
        <w:rPr>
          <w:b/>
          <w:bCs/>
        </w:rPr>
        <w:t xml:space="preserve"> metacluster, in predicting outcomes tied to altered bodily experience, including alexithymia, dissociative experiences, ADHD, autism, and somatic symptoms. The MAIA-2 outperformed the Mint for general well-being outcomes (e.g., life satisfaction, depression, anxiety); however, this advantage was almost entirely attributable to its </w:t>
      </w:r>
      <w:r>
        <w:rPr>
          <w:b/>
          <w:bCs/>
          <w:i/>
          <w:iCs/>
        </w:rPr>
        <w:t>Trusting</w:t>
      </w:r>
      <w:r>
        <w:rPr>
          <w:b/>
          <w:bCs/>
        </w:rPr>
        <w:t xml:space="preserve"> and </w:t>
      </w:r>
      <w:r>
        <w:rPr>
          <w:b/>
          <w:bCs/>
          <w:i/>
          <w:iCs/>
        </w:rPr>
        <w:t>Not-Worrying</w:t>
      </w:r>
      <w:r>
        <w:rPr>
          <w:b/>
          <w:bCs/>
        </w:rPr>
        <w:t xml:space="preserve"> subscales, which are dimensions more aligned with emotion regulation than interoceptive processing (</w:t>
      </w:r>
      <w:hyperlink w:anchor="ref-ferentzi2021examining">
        <w:r>
          <w:rPr>
            <w:rStyle w:val="Hyperlink"/>
            <w:b/>
            <w:bCs/>
          </w:rPr>
          <w:t>Ferentzi et al., 2021</w:t>
        </w:r>
      </w:hyperlink>
      <w:r>
        <w:rPr>
          <w:b/>
          <w:bCs/>
        </w:rPr>
        <w:t>). When these were excluded (in the iMAIA variant), the MAIA-2’s predictive advantage largely disappeared, underscoring that its superiority for well-being reflects coping-related variance rather than interoceptive specificity.</w:t>
      </w:r>
    </w:p>
    <w:p w14:paraId="3106DB98" w14:textId="77777777" w:rsidR="009C6DB7" w:rsidRDefault="00000000">
      <w:pPr>
        <w:pStyle w:val="Heading1"/>
      </w:pPr>
      <w:bookmarkStart w:id="20" w:name="general-discussion"/>
      <w:bookmarkEnd w:id="12"/>
      <w:bookmarkEnd w:id="19"/>
      <w:r>
        <w:t>General Discussion</w:t>
      </w:r>
    </w:p>
    <w:p w14:paraId="6F2310A9" w14:textId="77777777" w:rsidR="009C6DB7" w:rsidRDefault="00000000">
      <w:pPr>
        <w:pStyle w:val="FirstParagraph"/>
      </w:pPr>
      <w:r>
        <w:t xml:space="preserve">Across two studies, we developed and assessed the convergent and criterion validity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w:t>
      </w:r>
      <w:r>
        <w:rPr>
          <w:b/>
          <w:bCs/>
        </w:rPr>
        <w:t>Mint scores are psychometrically robust</w:t>
      </w:r>
      <w:r>
        <w:t xml:space="preserve">, reflecting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lastRenderedPageBreak/>
        <w:t>demonstrated that the Mint not only captures variance present in other popular scales (MAIA-2, BPQ and IAS) but also offers superior predictive power for a range of clinical and cognitive outcomes, particularly those tied to altered bodily perception.</w:t>
      </w:r>
    </w:p>
    <w:p w14:paraId="2F43174F" w14:textId="77777777" w:rsidR="009C6DB7" w:rsidRDefault="00000000">
      <w:pPr>
        <w:pStyle w:val="BodyText"/>
      </w:pPr>
      <w:r>
        <w:t>A key advantage of the Mint is its potential ability to disentangle core interoceptive experiences from more general emotion regulation abilities, an identified problem in 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In particular, the multidimensional structure of the Mint may allow future work to identify distinct interoceptive profiles, rather than assuming that individuals vary along a single continuum of interoceptive ability.</w:t>
      </w:r>
    </w:p>
    <w:p w14:paraId="3BE20B8A" w14:textId="77777777" w:rsidR="009C6DB7" w:rsidRDefault="00000000">
      <w:pPr>
        <w:pStyle w:val="BodyText"/>
      </w:pPr>
      <w:r>
        <w:t xml:space="preserve">We note several limitations that could serve as the impetus for future research efforts. Firstly,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w:t>
      </w:r>
      <w:r>
        <w:rPr>
          <w:b/>
          <w:bCs/>
        </w:rPr>
        <w:t xml:space="preserve">Secondly, preliminary analyses of abbreviated Mint </w:t>
      </w:r>
      <w:r>
        <w:rPr>
          <w:b/>
          <w:bCs/>
        </w:rPr>
        <w:lastRenderedPageBreak/>
        <w:t>versions (available at [MASKED]) suggest a reasonable brevity–performance trade-off, though formal validation in independent and clinical samples is needed.</w:t>
      </w:r>
      <w:r>
        <w:t xml:space="preserve"> Thirdly, although the final version of the MINT provides broader coverage of interoceptive domains than many existing alternatives, it remains non-exhaustive. In particular, several content areas were not retained, including sexual arousal awareness and related physiological changes ((e.g., cardiac changes), interoceptive signalling (e.g., during personally significant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69E17ECD" w14:textId="77777777" w:rsidR="009C6DB7" w:rsidRDefault="00000000">
      <w:pPr>
        <w:pStyle w:val="BodyText"/>
      </w:pPr>
      <w: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rPr>
          <w:t>Ma-Kellams et al., 2024</w:t>
        </w:r>
      </w:hyperlink>
      <w:r>
        <w:t>). For example, the Japanese validation of the MAIA-2 (</w:t>
      </w:r>
      <w:hyperlink w:anchor="ref-shoji2018investigating">
        <w:r>
          <w:rPr>
            <w:rStyle w:val="Hyperlink"/>
          </w:rPr>
          <w:t>Shoji et al., 2018</w:t>
        </w:r>
      </w:hyperlink>
      <w: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rPr>
          <w:t>Freedman et al., 2021</w:t>
        </w:r>
      </w:hyperlink>
      <w: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rPr>
          <w:t>Lin et al., 2023</w:t>
        </w:r>
      </w:hyperlink>
      <w:r>
        <w:t>) IAS validation. Future research should therefore formally test measurement invariance across culturally diverse samples to determine whether the identified clusters are structurally stable or culturally contingent.</w:t>
      </w:r>
    </w:p>
    <w:p w14:paraId="0ACA7E3B" w14:textId="77777777" w:rsidR="009C6DB7"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1559454C" w14:textId="77777777" w:rsidR="009C6DB7" w:rsidRDefault="00000000">
      <w:pPr>
        <w:pStyle w:val="BodyText"/>
      </w:pPr>
      <w:r>
        <w:t xml:space="preserve">In conclusion, the Mint scale represents a fresh take on interoception questionnaires and a significant methodological advancement for the field of interoception research. By providing a </w:t>
      </w:r>
      <w:r>
        <w:rPr>
          <w:b/>
          <w:bCs/>
        </w:rPr>
        <w:t>structurally coherent, nuanced measure whose scores demonstrate strong convergent and criterion validity</w:t>
      </w:r>
      <w:r>
        <w:t>, it allows for a more precise assessment of self-reported interoceptive experiences, paving the way for a deeper understanding of the multifaceted role of interoception in human psychology and pathophysiology.</w:t>
      </w:r>
    </w:p>
    <w:p w14:paraId="1CC4405D" w14:textId="77777777" w:rsidR="009C6DB7" w:rsidRDefault="00000000">
      <w:pPr>
        <w:pStyle w:val="Heading1"/>
      </w:pPr>
      <w:bookmarkStart w:id="21" w:name="data-availability"/>
      <w:bookmarkEnd w:id="20"/>
      <w:r>
        <w:t>Data Availability</w:t>
      </w:r>
    </w:p>
    <w:p w14:paraId="2FE5FBC4" w14:textId="77777777" w:rsidR="009C6DB7" w:rsidRDefault="00000000">
      <w:pPr>
        <w:pStyle w:val="FirstParagraph"/>
      </w:pPr>
      <w:r>
        <w:t xml:space="preserve">Data, code, and all materials are available at </w:t>
      </w:r>
      <w:r>
        <w:rPr>
          <w:i/>
          <w:iCs/>
        </w:rPr>
        <w:t>[MASKED FOR REVIEW]</w:t>
      </w:r>
      <w:r>
        <w:t xml:space="preserve">. </w:t>
      </w:r>
    </w:p>
    <w:p w14:paraId="24F848B9" w14:textId="77777777" w:rsidR="009C6DB7" w:rsidRDefault="00000000">
      <w:pPr>
        <w:pStyle w:val="Heading1"/>
      </w:pPr>
      <w:bookmarkStart w:id="22" w:name="references"/>
      <w:bookmarkEnd w:id="21"/>
      <w:r>
        <w:lastRenderedPageBreak/>
        <w:t>References</w:t>
      </w:r>
    </w:p>
    <w:p w14:paraId="640AB5B9" w14:textId="77777777" w:rsidR="009C6DB7" w:rsidRDefault="00000000">
      <w:pPr>
        <w:pStyle w:val="Bibliography"/>
      </w:pPr>
      <w:bookmarkStart w:id="23" w:name="ref-bogaerts2022interoceptive"/>
      <w:bookmarkStart w:id="24"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09EA7638" w14:textId="77777777" w:rsidR="009C6DB7" w:rsidRDefault="00000000">
      <w:pPr>
        <w:pStyle w:val="Bibliography"/>
      </w:pPr>
      <w:bookmarkStart w:id="25" w:name="ref-Brewer2016"/>
      <w:bookmarkEnd w:id="23"/>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02C5E710" w14:textId="77777777" w:rsidR="009C6DB7" w:rsidRDefault="00000000">
      <w:pPr>
        <w:pStyle w:val="Bibliography"/>
      </w:pPr>
      <w:bookmarkStart w:id="26" w:name="ref-cabrera2018assessing"/>
      <w:bookmarkEnd w:id="25"/>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7D3E046F" w14:textId="77777777" w:rsidR="009C6DB7" w:rsidRDefault="00000000">
      <w:pPr>
        <w:pStyle w:val="Bibliography"/>
      </w:pPr>
      <w:bookmarkStart w:id="27" w:name="ref-vcernis2024measuring"/>
      <w:bookmarkEnd w:id="26"/>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4F3D1C4C" w14:textId="77777777" w:rsidR="009C6DB7" w:rsidRDefault="00000000">
      <w:pPr>
        <w:pStyle w:val="Bibliography"/>
      </w:pPr>
      <w:bookmarkStart w:id="28" w:name="ref-christensen2023unique"/>
      <w:bookmarkEnd w:id="27"/>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767377D5" w14:textId="77777777" w:rsidR="009C6DB7" w:rsidRDefault="00000000">
      <w:pPr>
        <w:pStyle w:val="Bibliography"/>
      </w:pPr>
      <w:bookmarkStart w:id="29" w:name="ref-christensen2021estimating"/>
      <w:bookmarkEnd w:id="28"/>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46C9199E" w14:textId="77777777" w:rsidR="009C6DB7" w:rsidRDefault="00000000">
      <w:pPr>
        <w:pStyle w:val="Bibliography"/>
      </w:pPr>
      <w:bookmarkStart w:id="30" w:name="ref-christensen2021equivalency"/>
      <w:bookmarkEnd w:id="29"/>
      <w:r>
        <w:t xml:space="preserve">Christensen, A. P., &amp; Golino, H. (2021b). On the equivalency of factor and network loadings. </w:t>
      </w:r>
      <w:r>
        <w:rPr>
          <w:i/>
          <w:iCs/>
        </w:rPr>
        <w:t>Behavior Research Methods</w:t>
      </w:r>
      <w:r>
        <w:t xml:space="preserve">, </w:t>
      </w:r>
      <w:r>
        <w:rPr>
          <w:i/>
          <w:iCs/>
        </w:rPr>
        <w:t>53</w:t>
      </w:r>
      <w:r>
        <w:t>(4), 1563–1580.</w:t>
      </w:r>
    </w:p>
    <w:p w14:paraId="2BE8AA53" w14:textId="77777777" w:rsidR="009C6DB7" w:rsidRDefault="00000000">
      <w:pPr>
        <w:pStyle w:val="Bibliography"/>
      </w:pPr>
      <w:bookmarkStart w:id="31" w:name="ref-christensen2020psychometric"/>
      <w:bookmarkEnd w:id="30"/>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17DB0986" w14:textId="77777777" w:rsidR="009C6DB7" w:rsidRDefault="00000000">
      <w:pPr>
        <w:pStyle w:val="Bibliography"/>
      </w:pPr>
      <w:bookmarkStart w:id="32" w:name="ref-clifton2021brief"/>
      <w:bookmarkEnd w:id="31"/>
      <w:r>
        <w:t xml:space="preserve">Clifton, J. D., &amp; Yaden, D. B. (2021). Brief measures of the four highest-order primal world beliefs. </w:t>
      </w:r>
      <w:r>
        <w:rPr>
          <w:i/>
          <w:iCs/>
        </w:rPr>
        <w:t>Psychological Assessment</w:t>
      </w:r>
      <w:r>
        <w:t xml:space="preserve">, </w:t>
      </w:r>
      <w:r>
        <w:rPr>
          <w:i/>
          <w:iCs/>
        </w:rPr>
        <w:t>33</w:t>
      </w:r>
      <w:r>
        <w:t>(12), 1267.</w:t>
      </w:r>
    </w:p>
    <w:p w14:paraId="49090536" w14:textId="77777777" w:rsidR="009C6DB7" w:rsidRDefault="00000000">
      <w:pPr>
        <w:pStyle w:val="Bibliography"/>
      </w:pPr>
      <w:bookmarkStart w:id="33" w:name="ref-craig2002how"/>
      <w:bookmarkEnd w:id="32"/>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7A19D6E9" w14:textId="77777777" w:rsidR="009C6DB7" w:rsidRDefault="00000000">
      <w:pPr>
        <w:pStyle w:val="Bibliography"/>
      </w:pPr>
      <w:bookmarkStart w:id="34" w:name="ref-craig2003interoception"/>
      <w:bookmarkEnd w:id="33"/>
      <w:r>
        <w:t xml:space="preserve">Craig, A. D. (2003). Interoception: The sense of the physiological condition of the body. </w:t>
      </w:r>
      <w:r>
        <w:rPr>
          <w:i/>
          <w:iCs/>
        </w:rPr>
        <w:t>Current Opinion in Neurobiology</w:t>
      </w:r>
      <w:r>
        <w:t xml:space="preserve">, </w:t>
      </w:r>
      <w:r>
        <w:rPr>
          <w:i/>
          <w:iCs/>
        </w:rPr>
        <w:t>13</w:t>
      </w:r>
      <w:r>
        <w:t>(4), 500–505.</w:t>
      </w:r>
    </w:p>
    <w:p w14:paraId="4C5690DF" w14:textId="77777777" w:rsidR="009C6DB7" w:rsidRDefault="00000000">
      <w:pPr>
        <w:pStyle w:val="Bibliography"/>
      </w:pPr>
      <w:bookmarkStart w:id="35" w:name="ref-critchley2017interoception"/>
      <w:bookmarkEnd w:id="34"/>
      <w:r>
        <w:t xml:space="preserve">Critchley, H. D., &amp; Garfinkel, S. N. (2017). Interoception and emotion. </w:t>
      </w:r>
      <w:r>
        <w:rPr>
          <w:i/>
          <w:iCs/>
        </w:rPr>
        <w:t>Current Opinion in Psychology</w:t>
      </w:r>
      <w:r>
        <w:t xml:space="preserve">, </w:t>
      </w:r>
      <w:r>
        <w:rPr>
          <w:i/>
          <w:iCs/>
        </w:rPr>
        <w:t>17</w:t>
      </w:r>
      <w:r>
        <w:t xml:space="preserve">, 7–14. </w:t>
      </w:r>
      <w:hyperlink r:id="rId9">
        <w:r>
          <w:rPr>
            <w:rStyle w:val="Hyperlink"/>
          </w:rPr>
          <w:t>https://doi.org/10.1016/j.copsyc.2017.04.020</w:t>
        </w:r>
      </w:hyperlink>
    </w:p>
    <w:p w14:paraId="300087F7" w14:textId="77777777" w:rsidR="009C6DB7" w:rsidRDefault="00000000">
      <w:pPr>
        <w:pStyle w:val="Bibliography"/>
      </w:pPr>
      <w:bookmarkStart w:id="36" w:name="ref-crucianelli2023role"/>
      <w:bookmarkEnd w:id="35"/>
      <w:r>
        <w:t xml:space="preserve">Crucianelli, L., &amp; Ehrsson, H. H. (2023). The role of the skin in interoception: A neglected organ? </w:t>
      </w:r>
      <w:r>
        <w:rPr>
          <w:i/>
          <w:iCs/>
        </w:rPr>
        <w:t>Perspectives on Psychological Science</w:t>
      </w:r>
      <w:r>
        <w:t xml:space="preserve">, </w:t>
      </w:r>
      <w:r>
        <w:rPr>
          <w:i/>
          <w:iCs/>
        </w:rPr>
        <w:t>18</w:t>
      </w:r>
      <w:r>
        <w:t>(1), 224–238.</w:t>
      </w:r>
    </w:p>
    <w:p w14:paraId="1F6CD71D" w14:textId="77777777" w:rsidR="009C6DB7" w:rsidRDefault="00000000">
      <w:pPr>
        <w:pStyle w:val="Bibliography"/>
      </w:pPr>
      <w:bookmarkStart w:id="37" w:name="ref-de2015jspsych"/>
      <w:bookmarkEnd w:id="36"/>
      <w:r>
        <w:t xml:space="preserve">De Leeuw, J. R. (2015). jsPsych: A JavaScript library for creating behavioral experiments in a web browser. </w:t>
      </w:r>
      <w:r>
        <w:rPr>
          <w:i/>
          <w:iCs/>
        </w:rPr>
        <w:t>Behavior Research Methods</w:t>
      </w:r>
      <w:r>
        <w:t xml:space="preserve">, </w:t>
      </w:r>
      <w:r>
        <w:rPr>
          <w:i/>
          <w:iCs/>
        </w:rPr>
        <w:t>47</w:t>
      </w:r>
      <w:r>
        <w:t>, 1–12.</w:t>
      </w:r>
    </w:p>
    <w:p w14:paraId="2D8538D8" w14:textId="77777777" w:rsidR="009C6DB7" w:rsidRDefault="00000000">
      <w:pPr>
        <w:pStyle w:val="Bibliography"/>
      </w:pPr>
      <w:bookmarkStart w:id="38" w:name="ref-desmedt2022measures"/>
      <w:bookmarkEnd w:id="37"/>
      <w:r>
        <w:t xml:space="preserve">Desmedt, O., Heeren, A., Corneille, O., &amp; Luminet, O. (2022). What do measures of self-report interoception measure? Insights from a systematic review, latent factor analysis, and network approach. </w:t>
      </w:r>
      <w:r>
        <w:rPr>
          <w:i/>
          <w:iCs/>
        </w:rPr>
        <w:t>Biological Psychology</w:t>
      </w:r>
      <w:r>
        <w:t xml:space="preserve">, </w:t>
      </w:r>
      <w:r>
        <w:rPr>
          <w:i/>
          <w:iCs/>
        </w:rPr>
        <w:t>169</w:t>
      </w:r>
      <w:r>
        <w:t>, 108289.</w:t>
      </w:r>
    </w:p>
    <w:p w14:paraId="6AE290FB" w14:textId="77777777" w:rsidR="009C6DB7" w:rsidRDefault="00000000">
      <w:pPr>
        <w:pStyle w:val="Bibliography"/>
      </w:pPr>
      <w:bookmarkStart w:id="39" w:name="ref-desmedt2025discrepancies"/>
      <w:bookmarkEnd w:id="38"/>
      <w:r>
        <w:t xml:space="preserve">Desmedt, O., Luminet, O., Maurage, P., &amp; Corneille, O. (2025). 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10E0D736" w14:textId="77777777" w:rsidR="009C6DB7" w:rsidRDefault="00000000">
      <w:pPr>
        <w:pStyle w:val="Bibliography"/>
      </w:pPr>
      <w:bookmarkStart w:id="40" w:name="ref-di2016alexithymia"/>
      <w:bookmarkEnd w:id="39"/>
      <w:r>
        <w:t xml:space="preserve">Di Tella, M., &amp; Castelli, L. (2016). Alexithymia in chronic pain disorders. </w:t>
      </w:r>
      <w:r>
        <w:rPr>
          <w:i/>
          <w:iCs/>
        </w:rPr>
        <w:t>Current Rheumatology Reports</w:t>
      </w:r>
      <w:r>
        <w:t xml:space="preserve">, </w:t>
      </w:r>
      <w:r>
        <w:rPr>
          <w:i/>
          <w:iCs/>
        </w:rPr>
        <w:t>18</w:t>
      </w:r>
      <w:r>
        <w:t>(7), 41.</w:t>
      </w:r>
    </w:p>
    <w:p w14:paraId="1CACE6FF" w14:textId="77777777" w:rsidR="009C6DB7" w:rsidRDefault="00000000">
      <w:pPr>
        <w:pStyle w:val="Bibliography"/>
      </w:pPr>
      <w:bookmarkStart w:id="41" w:name="ref-epskamp2018network"/>
      <w:bookmarkEnd w:id="40"/>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302676D7" w14:textId="77777777" w:rsidR="009C6DB7" w:rsidRDefault="00000000">
      <w:pPr>
        <w:pStyle w:val="Bibliography"/>
      </w:pPr>
      <w:bookmarkStart w:id="42" w:name="ref-ferentzi2021examining"/>
      <w:bookmarkEnd w:id="41"/>
      <w:r>
        <w:t xml:space="preserve">Ferentzi, E., Olaru, G., Geiger, M., Vig, L., Köteles, F., &amp; Wilhelm, O. (2021). Examining the factor structure and validity of the multidimensional assessment of interoceptive awareness. </w:t>
      </w:r>
      <w:r>
        <w:rPr>
          <w:i/>
          <w:iCs/>
        </w:rPr>
        <w:t>Journal of Personality Assessment</w:t>
      </w:r>
      <w:r>
        <w:t xml:space="preserve">, </w:t>
      </w:r>
      <w:r>
        <w:rPr>
          <w:i/>
          <w:iCs/>
        </w:rPr>
        <w:t>103</w:t>
      </w:r>
      <w:r>
        <w:t>(5), 675–684.</w:t>
      </w:r>
    </w:p>
    <w:p w14:paraId="4EA9E468" w14:textId="77777777" w:rsidR="009C6DB7" w:rsidRDefault="00000000">
      <w:pPr>
        <w:pStyle w:val="Bibliography"/>
      </w:pPr>
      <w:bookmarkStart w:id="43" w:name="ref-freedman2021similarities"/>
      <w:bookmarkEnd w:id="42"/>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66AC3C80" w14:textId="77777777" w:rsidR="009C6DB7" w:rsidRDefault="00000000">
      <w:pPr>
        <w:pStyle w:val="Bibliography"/>
      </w:pPr>
      <w:bookmarkStart w:id="44" w:name="ref-friedman2008sparse"/>
      <w:bookmarkEnd w:id="43"/>
      <w:r>
        <w:t xml:space="preserve">Friedman, J., Hastie, T., &amp; Tibshirani, R. (2008). Sparse inverse covariance estimation with the graphical lasso. </w:t>
      </w:r>
      <w:r>
        <w:rPr>
          <w:i/>
          <w:iCs/>
        </w:rPr>
        <w:t>Biostatistics</w:t>
      </w:r>
      <w:r>
        <w:t xml:space="preserve">, </w:t>
      </w:r>
      <w:r>
        <w:rPr>
          <w:i/>
          <w:iCs/>
        </w:rPr>
        <w:t>9</w:t>
      </w:r>
      <w:r>
        <w:t>(3), 432–441.</w:t>
      </w:r>
    </w:p>
    <w:p w14:paraId="7899E8B7" w14:textId="77777777" w:rsidR="009C6DB7" w:rsidRDefault="00000000">
      <w:pPr>
        <w:pStyle w:val="Bibliography"/>
      </w:pPr>
      <w:bookmarkStart w:id="45" w:name="ref-GABRIELE2022108243"/>
      <w:bookmarkEnd w:id="44"/>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4381BC1A" w14:textId="77777777" w:rsidR="009C6DB7" w:rsidRDefault="00000000">
      <w:pPr>
        <w:pStyle w:val="Bibliography"/>
      </w:pPr>
      <w:bookmarkStart w:id="46" w:name="ref-garfinkel2015knowing"/>
      <w:bookmarkEnd w:id="45"/>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Pr>
            <w:rStyle w:val="Hyperlink"/>
          </w:rPr>
          <w:t>https://doi.org/10.1016/j.biopsycho.2014.11.004</w:t>
        </w:r>
      </w:hyperlink>
    </w:p>
    <w:p w14:paraId="631A0297" w14:textId="77777777" w:rsidR="009C6DB7" w:rsidRDefault="00000000">
      <w:pPr>
        <w:pStyle w:val="Bibliography"/>
      </w:pPr>
      <w:bookmarkStart w:id="47" w:name="ref-garnefski2006cognitive"/>
      <w:bookmarkEnd w:id="46"/>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77E25031" w14:textId="77777777" w:rsidR="009C6DB7" w:rsidRDefault="00000000">
      <w:pPr>
        <w:pStyle w:val="Bibliography"/>
      </w:pPr>
      <w:bookmarkStart w:id="48" w:name="ref-golino2017exploratory"/>
      <w:bookmarkEnd w:id="47"/>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402B52E0" w14:textId="77777777" w:rsidR="009C6DB7" w:rsidRDefault="00000000">
      <w:pPr>
        <w:pStyle w:val="Bibliography"/>
      </w:pPr>
      <w:bookmarkStart w:id="49" w:name="ref-Golino02112021"/>
      <w:bookmarkEnd w:id="48"/>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59172494" w14:textId="77777777" w:rsidR="009C6DB7" w:rsidRDefault="00000000">
      <w:pPr>
        <w:pStyle w:val="Bibliography"/>
      </w:pPr>
      <w:bookmarkStart w:id="50" w:name="ref-golino2020investigating"/>
      <w:bookmarkEnd w:id="49"/>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67E32D5C" w14:textId="77777777" w:rsidR="009C6DB7" w:rsidRDefault="00000000">
      <w:pPr>
        <w:pStyle w:val="Bibliography"/>
      </w:pPr>
      <w:bookmarkStart w:id="51" w:name="ref-indahl2018similarity"/>
      <w:bookmarkEnd w:id="50"/>
      <w:r>
        <w:t xml:space="preserve">Indahl, U. G., Næs, T., &amp; Liland, K. H. (2018). A similarity index for comparing coupled matrices. </w:t>
      </w:r>
      <w:r>
        <w:rPr>
          <w:i/>
          <w:iCs/>
        </w:rPr>
        <w:t>Journal of Chemometrics</w:t>
      </w:r>
      <w:r>
        <w:t xml:space="preserve">, </w:t>
      </w:r>
      <w:r>
        <w:rPr>
          <w:i/>
          <w:iCs/>
        </w:rPr>
        <w:t>32</w:t>
      </w:r>
      <w:r>
        <w:t>(10), e3049.</w:t>
      </w:r>
    </w:p>
    <w:p w14:paraId="11501C55" w14:textId="77777777" w:rsidR="009C6DB7" w:rsidRDefault="00000000">
      <w:pPr>
        <w:pStyle w:val="Bibliography"/>
      </w:pPr>
      <w:bookmarkStart w:id="52" w:name="ref-jimenez2023dimensionality"/>
      <w:bookmarkEnd w:id="51"/>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495BB0A9" w14:textId="77777777" w:rsidR="009C6DB7" w:rsidRDefault="00000000">
      <w:pPr>
        <w:pStyle w:val="Bibliography"/>
      </w:pPr>
      <w:bookmarkStart w:id="53" w:name="ref-jovanovic2020longer"/>
      <w:bookmarkEnd w:id="52"/>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5D951DAF" w14:textId="77777777" w:rsidR="009C6DB7" w:rsidRDefault="00000000">
      <w:pPr>
        <w:pStyle w:val="Bibliography"/>
      </w:pPr>
      <w:bookmarkStart w:id="54" w:name="ref-khalsa2018interoception"/>
      <w:bookmarkEnd w:id="53"/>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3CA097B1" w14:textId="77777777" w:rsidR="009C6DB7" w:rsidRDefault="00000000">
      <w:pPr>
        <w:pStyle w:val="Bibliography"/>
      </w:pPr>
      <w:bookmarkStart w:id="55" w:name="ref-kirsch2023role"/>
      <w:bookmarkEnd w:id="54"/>
      <w:r>
        <w:lastRenderedPageBreak/>
        <w:t xml:space="preserve">Kirsch, W., &amp; Kunde, W. (2023). On the role of interoception in body and object perception: A multisensory-integration account. </w:t>
      </w:r>
      <w:r>
        <w:rPr>
          <w:i/>
          <w:iCs/>
        </w:rPr>
        <w:t>Perspectives on Psychological Science</w:t>
      </w:r>
      <w:r>
        <w:t xml:space="preserve">, </w:t>
      </w:r>
      <w:r>
        <w:rPr>
          <w:i/>
          <w:iCs/>
        </w:rPr>
        <w:t>18</w:t>
      </w:r>
      <w:r>
        <w:t>(2), 321–339.</w:t>
      </w:r>
    </w:p>
    <w:p w14:paraId="77E84853" w14:textId="77777777" w:rsidR="009C6DB7" w:rsidRDefault="00000000">
      <w:pPr>
        <w:pStyle w:val="Bibliography"/>
      </w:pPr>
      <w:bookmarkStart w:id="56" w:name="ref-kolacz2018body"/>
      <w:bookmarkEnd w:id="55"/>
      <w:r>
        <w:t xml:space="preserve">Kolacz, J., Holmes, L., &amp; Porges, S. W. (2018). Body perception questionnaire (BPQ) manual. </w:t>
      </w:r>
      <w:r>
        <w:rPr>
          <w:i/>
          <w:iCs/>
        </w:rPr>
        <w:t>Traumatic Stress Research Consortium</w:t>
      </w:r>
      <w:r>
        <w:t>.</w:t>
      </w:r>
    </w:p>
    <w:p w14:paraId="252B8EFE" w14:textId="77777777" w:rsidR="009C6DB7" w:rsidRDefault="00000000">
      <w:pPr>
        <w:pStyle w:val="Bibliography"/>
      </w:pPr>
      <w:bookmarkStart w:id="57" w:name="ref-kroenke2009ultra"/>
      <w:bookmarkEnd w:id="56"/>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13195D0D" w14:textId="77777777" w:rsidR="009C6DB7" w:rsidRDefault="00000000">
      <w:pPr>
        <w:pStyle w:val="Bibliography"/>
      </w:pPr>
      <w:bookmarkStart w:id="58" w:name="ref-leising2009toronto"/>
      <w:bookmarkEnd w:id="57"/>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4F1366BB" w14:textId="77777777" w:rsidR="009C6DB7" w:rsidRDefault="00000000">
      <w:pPr>
        <w:pStyle w:val="Bibliography"/>
      </w:pPr>
      <w:bookmarkStart w:id="59" w:name="ref-lin2023psychometric"/>
      <w:bookmarkEnd w:id="58"/>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3658F7D0" w14:textId="77777777" w:rsidR="009C6DB7" w:rsidRDefault="00000000">
      <w:pPr>
        <w:pStyle w:val="Bibliography"/>
      </w:pPr>
      <w:bookmarkStart w:id="60" w:name="ref-longarzo2015relationships"/>
      <w:bookmarkEnd w:id="59"/>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E27C546" w14:textId="77777777" w:rsidR="009C6DB7" w:rsidRDefault="00000000">
      <w:pPr>
        <w:pStyle w:val="Bibliography"/>
      </w:pPr>
      <w:bookmarkStart w:id="61" w:name="ref-ludecke2020extracting"/>
      <w:bookmarkEnd w:id="60"/>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26C7D8AF" w14:textId="77777777" w:rsidR="009C6DB7" w:rsidRDefault="00000000">
      <w:pPr>
        <w:pStyle w:val="Bibliography"/>
      </w:pPr>
      <w:bookmarkStart w:id="62" w:name="ref-ludecke2021performance"/>
      <w:bookmarkEnd w:id="61"/>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5BD08BA3" w14:textId="77777777" w:rsidR="009C6DB7" w:rsidRDefault="00000000">
      <w:pPr>
        <w:pStyle w:val="Bibliography"/>
      </w:pPr>
      <w:bookmarkStart w:id="63" w:name="ref-ludecke2019insight"/>
      <w:bookmarkEnd w:id="62"/>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6A89D2CA" w14:textId="77777777" w:rsidR="009C6DB7" w:rsidRDefault="00000000">
      <w:pPr>
        <w:pStyle w:val="Bibliography"/>
      </w:pPr>
      <w:bookmarkStart w:id="64" w:name="ref-magnavita2022development"/>
      <w:bookmarkEnd w:id="63"/>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446882C6" w14:textId="77777777" w:rsidR="009C6DB7" w:rsidRDefault="00000000">
      <w:pPr>
        <w:pStyle w:val="Bibliography"/>
      </w:pPr>
      <w:bookmarkStart w:id="65" w:name="ref-ma2024demographic"/>
      <w:bookmarkEnd w:id="64"/>
      <w:r>
        <w:t xml:space="preserve">Ma-Kellams, C., Prentice, F., Spooner, R., &amp; Murphy, J. (2024). Demographic differences in interoception. </w:t>
      </w:r>
      <w:r>
        <w:rPr>
          <w:i/>
          <w:iCs/>
        </w:rPr>
        <w:t>Interoception: A Comprehensive Guide</w:t>
      </w:r>
      <w:r>
        <w:t>, 357–403.</w:t>
      </w:r>
    </w:p>
    <w:p w14:paraId="786DB547" w14:textId="77777777" w:rsidR="009C6DB7" w:rsidRDefault="00000000">
      <w:pPr>
        <w:pStyle w:val="Bibliography"/>
      </w:pPr>
      <w:bookmarkStart w:id="66" w:name="ref-makowski2025measuring"/>
      <w:bookmarkEnd w:id="65"/>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23D04C59" w14:textId="77777777" w:rsidR="009C6DB7" w:rsidRDefault="00000000">
      <w:pPr>
        <w:pStyle w:val="Bibliography"/>
      </w:pPr>
      <w:bookmarkStart w:id="67" w:name="ref-mayer2011exploratory"/>
      <w:bookmarkEnd w:id="66"/>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090DA703" w14:textId="77777777" w:rsidR="009C6DB7" w:rsidRDefault="00000000">
      <w:pPr>
        <w:pStyle w:val="Bibliography"/>
      </w:pPr>
      <w:bookmarkStart w:id="68" w:name="ref-mehling2018multidimensional"/>
      <w:bookmarkEnd w:id="67"/>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6BCCC5CD" w14:textId="77777777" w:rsidR="009C6DB7" w:rsidRDefault="00000000">
      <w:pPr>
        <w:pStyle w:val="Bibliography"/>
      </w:pPr>
      <w:bookmarkStart w:id="69" w:name="ref-mehling2009body"/>
      <w:bookmarkEnd w:id="68"/>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29CD2DA7" w14:textId="77777777" w:rsidR="009C6DB7" w:rsidRDefault="00000000">
      <w:pPr>
        <w:pStyle w:val="Bibliography"/>
      </w:pPr>
      <w:bookmarkStart w:id="70" w:name="ref-miller1981consciousness"/>
      <w:bookmarkEnd w:id="69"/>
      <w:r>
        <w:t xml:space="preserve">Miller, L. C., Murphy, R., &amp; Buss, A. H. (1981). Consciousness of body: Private and public. </w:t>
      </w:r>
      <w:r>
        <w:rPr>
          <w:i/>
          <w:iCs/>
        </w:rPr>
        <w:t>Journal of Personality and Social Psychology</w:t>
      </w:r>
      <w:r>
        <w:t xml:space="preserve">, </w:t>
      </w:r>
      <w:r>
        <w:rPr>
          <w:i/>
          <w:iCs/>
        </w:rPr>
        <w:t>41</w:t>
      </w:r>
      <w:r>
        <w:t>(2), 397.</w:t>
      </w:r>
    </w:p>
    <w:p w14:paraId="3F5D33F6" w14:textId="77777777" w:rsidR="009C6DB7" w:rsidRDefault="00000000">
      <w:pPr>
        <w:pStyle w:val="Bibliography"/>
      </w:pPr>
      <w:bookmarkStart w:id="71" w:name="ref-murphy2020testing"/>
      <w:bookmarkEnd w:id="70"/>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759F4B77" w14:textId="77777777" w:rsidR="009C6DB7" w:rsidRDefault="00000000">
      <w:pPr>
        <w:pStyle w:val="Bibliography"/>
      </w:pPr>
      <w:bookmarkStart w:id="72" w:name="ref-murphy2018classifying"/>
      <w:bookmarkEnd w:id="71"/>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7B1F1208" w14:textId="77777777" w:rsidR="009C6DB7" w:rsidRDefault="00000000">
      <w:pPr>
        <w:pStyle w:val="Bibliography"/>
      </w:pPr>
      <w:bookmarkStart w:id="73" w:name="ref-paulus2010interoception"/>
      <w:bookmarkEnd w:id="72"/>
      <w:r>
        <w:t xml:space="preserve">Paulus, M. P., &amp; Stein, M. B. (2010). Interoception in anxiety and depression. </w:t>
      </w:r>
      <w:r>
        <w:rPr>
          <w:i/>
          <w:iCs/>
        </w:rPr>
        <w:t>Brain Structure and Function</w:t>
      </w:r>
      <w:r>
        <w:t xml:space="preserve">, </w:t>
      </w:r>
      <w:r>
        <w:rPr>
          <w:i/>
          <w:iCs/>
        </w:rPr>
        <w:t>214</w:t>
      </w:r>
      <w:r>
        <w:t>(5), 451–463.</w:t>
      </w:r>
    </w:p>
    <w:p w14:paraId="7203BC35" w14:textId="77777777" w:rsidR="009C6DB7" w:rsidRDefault="00000000">
      <w:pPr>
        <w:pStyle w:val="Bibliography"/>
      </w:pPr>
      <w:bookmarkStart w:id="74" w:name="ref-Rcoreteam"/>
      <w:bookmarkEnd w:id="73"/>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14582E79" w14:textId="77777777" w:rsidR="009C6DB7" w:rsidRDefault="00000000">
      <w:pPr>
        <w:pStyle w:val="Bibliography"/>
      </w:pPr>
      <w:bookmarkStart w:id="75" w:name="ref-shields1989body"/>
      <w:bookmarkEnd w:id="74"/>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15FB9D1E" w14:textId="77777777" w:rsidR="009C6DB7" w:rsidRDefault="00000000">
      <w:pPr>
        <w:pStyle w:val="Bibliography"/>
      </w:pPr>
      <w:bookmarkStart w:id="76" w:name="ref-shoji2018investigating"/>
      <w:bookmarkEnd w:id="75"/>
      <w:r>
        <w:t xml:space="preserve">Shoji, M., Mehling, W. E., &amp; Hautzinger, M. (2018). </w:t>
      </w:r>
      <w:r>
        <w:rPr>
          <w:i/>
          <w:iCs/>
        </w:rPr>
        <w:t>Investigating multidimensional interoceptive awareness in a japanese population</w:t>
      </w:r>
      <w:r>
        <w:t>.</w:t>
      </w:r>
    </w:p>
    <w:p w14:paraId="70C75479" w14:textId="77777777" w:rsidR="009C6DB7" w:rsidRDefault="00000000">
      <w:pPr>
        <w:pStyle w:val="Bibliography"/>
      </w:pPr>
      <w:bookmarkStart w:id="77" w:name="ref-sibson1978studies"/>
      <w:bookmarkEnd w:id="76"/>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A009839" w14:textId="77777777" w:rsidR="009C6DB7" w:rsidRDefault="00000000">
      <w:pPr>
        <w:pStyle w:val="Bibliography"/>
      </w:pPr>
      <w:bookmarkStart w:id="78" w:name="ref-theriault2024check"/>
      <w:bookmarkEnd w:id="77"/>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73DC9CB1" w14:textId="77777777" w:rsidR="009C6DB7" w:rsidRDefault="00000000">
      <w:pPr>
        <w:pStyle w:val="Bibliography"/>
      </w:pPr>
      <w:bookmarkStart w:id="79" w:name="ref-traag2019louvain"/>
      <w:bookmarkEnd w:id="78"/>
      <w:r>
        <w:t xml:space="preserve">Traag, V. A., Waltman, L., &amp; Van Eck, N. J. (2019). From louvain to leiden: Guaranteeing well-connected communities. </w:t>
      </w:r>
      <w:r>
        <w:rPr>
          <w:i/>
          <w:iCs/>
        </w:rPr>
        <w:t>Scientific Reports</w:t>
      </w:r>
      <w:r>
        <w:t xml:space="preserve">, </w:t>
      </w:r>
      <w:r>
        <w:rPr>
          <w:i/>
          <w:iCs/>
        </w:rPr>
        <w:t>9</w:t>
      </w:r>
      <w:r>
        <w:t>(1), 1–12.</w:t>
      </w:r>
    </w:p>
    <w:p w14:paraId="71743845" w14:textId="77777777" w:rsidR="009C6DB7" w:rsidRDefault="00000000">
      <w:pPr>
        <w:pStyle w:val="Bibliography"/>
      </w:pPr>
      <w:bookmarkStart w:id="80" w:name="ref-veilleux2024development"/>
      <w:bookmarkEnd w:id="79"/>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129FA695" w14:textId="77777777" w:rsidR="009C6DB7" w:rsidRDefault="00000000">
      <w:pPr>
        <w:pStyle w:val="Bibliography"/>
      </w:pPr>
      <w:bookmarkStart w:id="81" w:name="ref-vig2022questionnaires"/>
      <w:bookmarkEnd w:id="80"/>
      <w:r>
        <w:t xml:space="preserve">Vig, L., Köteles, F., &amp; Ferentzi, E. (2022). Questionnaires of interoception do not assess the same construct. </w:t>
      </w:r>
      <w:r>
        <w:rPr>
          <w:i/>
          <w:iCs/>
        </w:rPr>
        <w:t>PLoS One</w:t>
      </w:r>
      <w:r>
        <w:t xml:space="preserve">, </w:t>
      </w:r>
      <w:r>
        <w:rPr>
          <w:i/>
          <w:iCs/>
        </w:rPr>
        <w:t>17</w:t>
      </w:r>
      <w:r>
        <w:t>(8), e0273299.</w:t>
      </w:r>
    </w:p>
    <w:p w14:paraId="11C64AD1" w14:textId="77777777" w:rsidR="009C6DB7" w:rsidRDefault="00000000">
      <w:pPr>
        <w:pStyle w:val="Bibliography"/>
      </w:pPr>
      <w:bookmarkStart w:id="82" w:name="ref-wongvorachan2025item"/>
      <w:bookmarkEnd w:id="81"/>
      <w:r>
        <w:lastRenderedPageBreak/>
        <w:t xml:space="preserve">Wongvorachan, T. (2025). </w:t>
      </w:r>
      <w:r>
        <w:rPr>
          <w:i/>
          <w:iCs/>
        </w:rPr>
        <w:t>Item revision with network psychometrics and natural language processing</w:t>
      </w:r>
      <w:r>
        <w:t>.</w:t>
      </w:r>
    </w:p>
    <w:p w14:paraId="7F30FF9A" w14:textId="77777777" w:rsidR="009C6DB7" w:rsidRDefault="00000000">
      <w:pPr>
        <w:pStyle w:val="Bibliography"/>
      </w:pPr>
      <w:bookmarkStart w:id="83" w:name="ref-zamariola2018interoceptive"/>
      <w:bookmarkEnd w:id="82"/>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15CAA252" w14:textId="77777777" w:rsidR="009C6DB7" w:rsidRDefault="00000000">
      <w:pPr>
        <w:pStyle w:val="FigureTitle"/>
      </w:pPr>
      <w:bookmarkStart w:id="84" w:name="fig-one"/>
      <w:bookmarkEnd w:id="24"/>
      <w:bookmarkEnd w:id="83"/>
      <w:r>
        <w:lastRenderedPageBreak/>
        <w:t>Figure 1</w:t>
      </w:r>
    </w:p>
    <w:p w14:paraId="19C1E282" w14:textId="77777777" w:rsidR="009C6DB7" w:rsidRDefault="00000000">
      <w:pPr>
        <w:pStyle w:val="Caption"/>
      </w:pPr>
      <w:r>
        <w:t xml:space="preserve">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w:t>
      </w:r>
      <w:r>
        <w:rPr>
          <w:b/>
          <w:bCs/>
        </w:rPr>
        <w:t>Mint scores are robust</w:t>
      </w:r>
      <w:r>
        <w:t xml:space="preserve"> to different presentation conditions, and that the modality-grouping might potentially tend to facilitate the emergence of the underlying item structure (and thus be interpreted as being more “natural”).</w:t>
      </w:r>
    </w:p>
    <w:p w14:paraId="3E1B49FA" w14:textId="77777777" w:rsidR="009C6DB7" w:rsidRDefault="00000000">
      <w:pPr>
        <w:pStyle w:val="FigureWithoutNote"/>
      </w:pPr>
      <w:r>
        <w:rPr>
          <w:noProof/>
        </w:rPr>
        <w:lastRenderedPageBreak/>
        <w:drawing>
          <wp:inline distT="0" distB="0" distL="0" distR="0" wp14:anchorId="054E0AA6" wp14:editId="1DFB2539">
            <wp:extent cx="5943600" cy="566057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37F1D0DD" w14:textId="77777777" w:rsidR="009C6DB7" w:rsidRDefault="00000000">
      <w:pPr>
        <w:pStyle w:val="FigureTitle"/>
      </w:pPr>
      <w:bookmarkStart w:id="85" w:name="fig-two"/>
      <w:bookmarkEnd w:id="84"/>
      <w:r>
        <w:lastRenderedPageBreak/>
        <w:t>Figure 2</w:t>
      </w:r>
    </w:p>
    <w:p w14:paraId="52E68E58" w14:textId="77777777" w:rsidR="009C6DB7" w:rsidRDefault="00000000">
      <w:pPr>
        <w:pStyle w:val="Caption"/>
      </w:pPr>
      <w:r>
        <w:t xml:space="preserve">Structure analysis of the final set of 33 Mint items. Hierarchical Exploratory Graph Analysis (EGA) was applied to jointly identify clusters of items, as well as higher-order metaclusters. </w:t>
      </w:r>
      <w:r>
        <w:rPr>
          <w:b/>
          <w:bCs/>
        </w:rPr>
        <w:t>Score reliability at the item level</w:t>
      </w:r>
      <w:r>
        <w:t xml:space="preserve">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stability across methods, and allowing for more granular understanding of the relationships between variables.</w:t>
      </w:r>
    </w:p>
    <w:p w14:paraId="71EF9A8F" w14:textId="77777777" w:rsidR="009C6DB7" w:rsidRDefault="00000000">
      <w:pPr>
        <w:pStyle w:val="FigureWithoutNote"/>
      </w:pPr>
      <w:r>
        <w:rPr>
          <w:noProof/>
        </w:rPr>
        <w:lastRenderedPageBreak/>
        <w:drawing>
          <wp:inline distT="0" distB="0" distL="0" distR="0" wp14:anchorId="46CFC7E9" wp14:editId="2C350512">
            <wp:extent cx="4754880" cy="713231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100962ED" w14:textId="77777777" w:rsidR="009C6DB7" w:rsidRDefault="00000000">
      <w:pPr>
        <w:pStyle w:val="FigureTitle"/>
      </w:pPr>
      <w:bookmarkStart w:id="86" w:name="fig-three"/>
      <w:bookmarkEnd w:id="85"/>
      <w:r>
        <w:lastRenderedPageBreak/>
        <w:t>Figure 3</w:t>
      </w:r>
    </w:p>
    <w:p w14:paraId="5324E50E" w14:textId="77777777" w:rsidR="009C6DB7"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49742473" w14:textId="77777777" w:rsidR="009C6DB7" w:rsidRDefault="00000000">
      <w:pPr>
        <w:pStyle w:val="FigureWithoutNote"/>
      </w:pPr>
      <w:r>
        <w:rPr>
          <w:noProof/>
        </w:rPr>
        <w:lastRenderedPageBreak/>
        <w:drawing>
          <wp:inline distT="0" distB="0" distL="0" distR="0" wp14:anchorId="09104BB3" wp14:editId="5134C26E">
            <wp:extent cx="5943600" cy="683248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07A72BDE" w14:textId="77777777" w:rsidR="009C6DB7" w:rsidRDefault="00000000">
      <w:pPr>
        <w:pStyle w:val="FigureTitle"/>
      </w:pPr>
      <w:bookmarkStart w:id="87" w:name="fig-four"/>
      <w:bookmarkEnd w:id="86"/>
      <w:r>
        <w:lastRenderedPageBreak/>
        <w:t>Figure 4</w:t>
      </w:r>
    </w:p>
    <w:p w14:paraId="334AA031" w14:textId="77777777" w:rsidR="009C6DB7"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50F048A6" w14:textId="77777777" w:rsidR="009C6DB7" w:rsidRDefault="00000000">
      <w:pPr>
        <w:pStyle w:val="FigureWithoutNote"/>
      </w:pPr>
      <w:r>
        <w:rPr>
          <w:noProof/>
        </w:rPr>
        <w:lastRenderedPageBreak/>
        <w:drawing>
          <wp:inline distT="0" distB="0" distL="0" distR="0" wp14:anchorId="7013DCD6" wp14:editId="450BE6A4">
            <wp:extent cx="5943600" cy="713232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2D1FE1C5" w14:textId="77777777" w:rsidR="009C6DB7" w:rsidRDefault="00000000">
      <w:pPr>
        <w:pStyle w:val="FigureTitle"/>
      </w:pPr>
      <w:bookmarkStart w:id="88" w:name="fig-five"/>
      <w:bookmarkEnd w:id="87"/>
      <w:r>
        <w:lastRenderedPageBreak/>
        <w:t>Figure 5</w:t>
      </w:r>
    </w:p>
    <w:p w14:paraId="3B2517C3" w14:textId="77777777" w:rsidR="009C6DB7"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190D5B79" w14:textId="77777777" w:rsidR="009C6DB7" w:rsidRDefault="00000000">
      <w:pPr>
        <w:pStyle w:val="FigureWithoutNote"/>
      </w:pPr>
      <w:r>
        <w:rPr>
          <w:noProof/>
        </w:rPr>
        <w:lastRenderedPageBreak/>
        <w:drawing>
          <wp:inline distT="0" distB="0" distL="0" distR="0" wp14:anchorId="749C06CE" wp14:editId="20BDF5E3">
            <wp:extent cx="4873752" cy="645356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307AFD4F" w14:textId="77777777" w:rsidR="009C6DB7" w:rsidRDefault="00000000">
      <w:pPr>
        <w:pStyle w:val="FigureTitle"/>
      </w:pPr>
      <w:bookmarkStart w:id="89" w:name="fig-six"/>
      <w:bookmarkEnd w:id="88"/>
      <w:r>
        <w:lastRenderedPageBreak/>
        <w:t>Figure 6</w:t>
      </w:r>
    </w:p>
    <w:p w14:paraId="79549D0F" w14:textId="77777777" w:rsidR="009C6DB7" w:rsidRDefault="00000000">
      <w:pPr>
        <w:pStyle w:val="Caption"/>
      </w:pPr>
      <w:r>
        <w:t xml:space="preserve">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w:t>
      </w:r>
      <w:r>
        <w:rPr>
          <w:b/>
          <w:bCs/>
        </w:rPr>
        <w:t>However, the Mint and MAIA performed comparatively for central sensitization.</w:t>
      </w:r>
    </w:p>
    <w:p w14:paraId="3E1A2EBA" w14:textId="77777777" w:rsidR="009C6DB7" w:rsidRDefault="00000000">
      <w:pPr>
        <w:pStyle w:val="FigureWithoutNote"/>
      </w:pPr>
      <w:r>
        <w:rPr>
          <w:noProof/>
        </w:rPr>
        <w:drawing>
          <wp:inline distT="0" distB="0" distL="0" distR="0" wp14:anchorId="328ED26B" wp14:editId="2C2B1B41">
            <wp:extent cx="5943600" cy="3962399"/>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tudy2/analysis/figures/fig3.png"/>
                    <pic:cNvPicPr>
                      <a:picLocks noChangeAspect="1" noChangeArrowheads="1"/>
                    </pic:cNvPicPr>
                  </pic:nvPicPr>
                  <pic:blipFill>
                    <a:blip r:embed="rId22"/>
                    <a:stretch>
                      <a:fillRect/>
                    </a:stretch>
                  </pic:blipFill>
                  <pic:spPr bwMode="auto">
                    <a:xfrm>
                      <a:off x="0" y="0"/>
                      <a:ext cx="5943600" cy="3962399"/>
                    </a:xfrm>
                    <a:prstGeom prst="rect">
                      <a:avLst/>
                    </a:prstGeom>
                    <a:noFill/>
                    <a:ln w="9525">
                      <a:noFill/>
                      <a:headEnd/>
                      <a:tailEnd/>
                    </a:ln>
                  </pic:spPr>
                </pic:pic>
              </a:graphicData>
            </a:graphic>
          </wp:inline>
        </w:drawing>
      </w:r>
    </w:p>
    <w:p w14:paraId="0D7F6D2A" w14:textId="77777777" w:rsidR="009C6DB7" w:rsidRDefault="00000000">
      <w:pPr>
        <w:pStyle w:val="FigureTitle"/>
      </w:pPr>
      <w:bookmarkStart w:id="90" w:name="fig-seven"/>
      <w:bookmarkEnd w:id="89"/>
      <w:r>
        <w:lastRenderedPageBreak/>
        <w:t>Figure 7</w:t>
      </w:r>
    </w:p>
    <w:p w14:paraId="6C8BA4B2" w14:textId="77777777" w:rsidR="009C6DB7"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w:t>
      </w:r>
    </w:p>
    <w:p w14:paraId="443A2298" w14:textId="77777777" w:rsidR="009C6DB7" w:rsidRDefault="00000000">
      <w:pPr>
        <w:pStyle w:val="FigureWithoutNote"/>
      </w:pPr>
      <w:r>
        <w:rPr>
          <w:noProof/>
        </w:rPr>
        <w:drawing>
          <wp:inline distT="0" distB="0" distL="0" distR="0" wp14:anchorId="0CC151ED" wp14:editId="6F70A53F">
            <wp:extent cx="5943600" cy="5059489"/>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study2/analysis/figures/table3.png"/>
                    <pic:cNvPicPr>
                      <a:picLocks noChangeAspect="1" noChangeArrowheads="1"/>
                    </pic:cNvPicPr>
                  </pic:nvPicPr>
                  <pic:blipFill>
                    <a:blip r:embed="rId23"/>
                    <a:stretch>
                      <a:fillRect/>
                    </a:stretch>
                  </pic:blipFill>
                  <pic:spPr bwMode="auto">
                    <a:xfrm>
                      <a:off x="0" y="0"/>
                      <a:ext cx="5943600" cy="5059489"/>
                    </a:xfrm>
                    <a:prstGeom prst="rect">
                      <a:avLst/>
                    </a:prstGeom>
                    <a:noFill/>
                    <a:ln w="9525">
                      <a:noFill/>
                      <a:headEnd/>
                      <a:tailEnd/>
                    </a:ln>
                  </pic:spPr>
                </pic:pic>
              </a:graphicData>
            </a:graphic>
          </wp:inline>
        </w:drawing>
      </w:r>
      <w:bookmarkEnd w:id="22"/>
      <w:bookmarkEnd w:id="90"/>
    </w:p>
    <w:sectPr w:rsidR="009C6DB7">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DBEB8" w14:textId="77777777" w:rsidR="00771989" w:rsidRDefault="00771989">
      <w:pPr>
        <w:spacing w:line="240" w:lineRule="auto"/>
      </w:pPr>
      <w:r>
        <w:separator/>
      </w:r>
    </w:p>
  </w:endnote>
  <w:endnote w:type="continuationSeparator" w:id="0">
    <w:p w14:paraId="0E278CFD" w14:textId="77777777" w:rsidR="00771989" w:rsidRDefault="007719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3B9F1" w14:textId="77777777" w:rsidR="00771989" w:rsidRDefault="00771989">
      <w:pPr>
        <w:pStyle w:val="Footer"/>
      </w:pPr>
    </w:p>
    <w:p w14:paraId="3EA12D11" w14:textId="77777777" w:rsidR="00771989" w:rsidRDefault="00771989"/>
    <w:p w14:paraId="484AA8D6" w14:textId="77777777" w:rsidR="00771989" w:rsidRDefault="00771989">
      <w:pPr>
        <w:pStyle w:val="Header"/>
      </w:pPr>
    </w:p>
    <w:p w14:paraId="733BF467" w14:textId="77777777" w:rsidR="00771989" w:rsidRDefault="00771989"/>
    <w:p w14:paraId="5E1C0B60" w14:textId="77777777" w:rsidR="00771989" w:rsidRDefault="00771989">
      <w:pPr>
        <w:pStyle w:val="Footer"/>
      </w:pPr>
    </w:p>
    <w:p w14:paraId="74ED5ABB" w14:textId="77777777" w:rsidR="00771989" w:rsidRDefault="00771989"/>
    <w:p w14:paraId="50BEB79C" w14:textId="77777777" w:rsidR="00771989" w:rsidRDefault="00771989">
      <w:pPr>
        <w:pStyle w:val="Footer"/>
      </w:pPr>
    </w:p>
    <w:p w14:paraId="3F96C94B" w14:textId="77777777" w:rsidR="00771989" w:rsidRDefault="00771989"/>
    <w:p w14:paraId="16B5121F" w14:textId="77777777" w:rsidR="00771989" w:rsidRPr="000D23CF" w:rsidRDefault="00771989"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3B84FADD" w14:textId="77777777" w:rsidR="00771989" w:rsidRDefault="00771989">
      <w:pPr>
        <w:pStyle w:val="Header"/>
      </w:pPr>
    </w:p>
    <w:p w14:paraId="7798D4B0" w14:textId="77777777" w:rsidR="00771989" w:rsidRDefault="00771989"/>
    <w:p w14:paraId="3D244D10" w14:textId="77777777" w:rsidR="00771989" w:rsidRDefault="00771989">
      <w:pPr>
        <w:spacing w:line="240" w:lineRule="auto"/>
      </w:pPr>
      <w:r>
        <w:separator/>
      </w:r>
    </w:p>
  </w:footnote>
  <w:footnote w:type="continuationSeparator" w:id="0">
    <w:p w14:paraId="737D3AAF" w14:textId="77777777" w:rsidR="00771989" w:rsidRDefault="00771989">
      <w:pPr>
        <w:spacing w:line="240" w:lineRule="auto"/>
      </w:pPr>
      <w:r>
        <w:continuationSeparator/>
      </w:r>
    </w:p>
  </w:footnote>
  <w:footnote w:id="1">
    <w:p w14:paraId="5C958194" w14:textId="77777777" w:rsidR="009C6DB7" w:rsidRDefault="00000000">
      <w:pPr>
        <w:pStyle w:val="FootnoteText"/>
      </w:pPr>
      <w:r>
        <w:rPr>
          <w:rStyle w:val="FootnoteReference"/>
        </w:rPr>
        <w:footnoteRef/>
      </w:r>
      <w:r>
        <w:t xml:space="preserve"> See original items at </w:t>
      </w:r>
      <w:r>
        <w:rPr>
          <w:i/>
          <w:iCs/>
        </w:rPr>
        <w:t>“MASKED FOR REVIEW”</w:t>
      </w:r>
    </w:p>
  </w:footnote>
  <w:footnote w:id="2">
    <w:p w14:paraId="6E98EC78" w14:textId="77777777" w:rsidR="009C6DB7" w:rsidRDefault="00000000">
      <w:pPr>
        <w:pStyle w:val="FootnoteText"/>
      </w:pPr>
      <w:r>
        <w:rPr>
          <w:rStyle w:val="FootnoteReference"/>
        </w:rPr>
        <w:footnoteRef/>
      </w:r>
      <w:r>
        <w:t xml:space="preserve"> The experiment can be tested by following the link on </w:t>
      </w:r>
      <w:r>
        <w:rPr>
          <w:i/>
          <w:iCs/>
        </w:rPr>
        <w:t>“MASKED FOR REVIEW”</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3A056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8706831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12E2F"/>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1989"/>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9C6DB7"/>
    <w:rsid w:val="00A072AF"/>
    <w:rsid w:val="00A16B10"/>
    <w:rsid w:val="00A46245"/>
    <w:rsid w:val="00A82821"/>
    <w:rsid w:val="00A946AC"/>
    <w:rsid w:val="00AA1F29"/>
    <w:rsid w:val="00AC3115"/>
    <w:rsid w:val="00AC58E4"/>
    <w:rsid w:val="00AD733E"/>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42EDBE"/>
  <w15:docId w15:val="{505AA1E7-BB5D-4A61-A5E5-528A42998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AD73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TotalTime>
  <Pages>56</Pages>
  <Words>12529</Words>
  <Characters>71417</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2</cp:revision>
  <dcterms:created xsi:type="dcterms:W3CDTF">2026-09-29T15:40:00Z</dcterms:created>
  <dcterms:modified xsi:type="dcterms:W3CDTF">2026-09-29T15:43:00Z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“modality-by-context” framework was generated and then reduced using psychometric network analysis. In Study 2 (N=737), we further assessed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8738</vt:lpwstr>
  </property>
  <property fmtid="{D5CDD505-2E9C-101B-9397-08002B2CF9AE}" pid="64" name="zerocitations">
    <vt:lpwstr>False</vt:lpwstr>
  </property>
</Properties>
</file>