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F58F7" w14:textId="77777777" w:rsidR="002E473A" w:rsidRDefault="00000000">
      <w:pPr>
        <w:pStyle w:val="FirstParagraph"/>
      </w:pPr>
      <w:r>
        <w:t xml:space="preserve"> </w:t>
      </w:r>
    </w:p>
    <w:p w14:paraId="6EA4BE0A" w14:textId="77777777" w:rsidR="002E473A" w:rsidRDefault="00000000">
      <w:pPr>
        <w:pStyle w:val="BodyText"/>
      </w:pPr>
      <w:r>
        <w:t xml:space="preserve"> </w:t>
      </w:r>
    </w:p>
    <w:p w14:paraId="411B7C52" w14:textId="77777777" w:rsidR="002E473A" w:rsidRDefault="00000000">
      <w:pPr>
        <w:pStyle w:val="Heading1"/>
      </w:pPr>
      <w:bookmarkStart w:id="0" w:name="title"/>
      <w:r>
        <w:t>The Mint Scale: A Fresh Validation of the Multimodal Interoception Questionnaire and Comparison to the MAIA, BPQ and IAS</w:t>
      </w:r>
    </w:p>
    <w:p w14:paraId="567D24D6" w14:textId="77777777" w:rsidR="002E473A" w:rsidRDefault="00000000">
      <w:r>
        <w:br w:type="page"/>
      </w:r>
    </w:p>
    <w:p w14:paraId="19FB17C9" w14:textId="77777777" w:rsidR="002E473A" w:rsidRDefault="00000000">
      <w:pPr>
        <w:pStyle w:val="Heading1"/>
      </w:pPr>
      <w:bookmarkStart w:id="1" w:name="abstract"/>
      <w:bookmarkEnd w:id="0"/>
      <w:r>
        <w:lastRenderedPageBreak/>
        <w:t>Abstract</w:t>
      </w:r>
    </w:p>
    <w:p w14:paraId="4196F544" w14:textId="31C7CEF7" w:rsidR="003562B6" w:rsidRPr="003562B6" w:rsidRDefault="003562B6" w:rsidP="003562B6">
      <w:pPr>
        <w:pStyle w:val="BodyText"/>
      </w:pPr>
      <w:r w:rsidRPr="003562B6">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w:t>
      </w:r>
      <w:r w:rsidR="00AD7F50">
        <w:t xml:space="preserve">and </w:t>
      </w:r>
      <w:r w:rsidRPr="003562B6">
        <w:t xml:space="preserve">tested its relationship with other measures. In Study 1 (N=559), a comprehensive item pool using a "modality-by-context" framework was generated and then reduced using psychometric network analysis. In Study 2 (N=737), </w:t>
      </w:r>
      <w:r w:rsidRPr="003562B6">
        <w:rPr>
          <w:b/>
          <w:bCs/>
        </w:rPr>
        <w:t xml:space="preserve">we further assessed the structure of the Mint in an independent </w:t>
      </w:r>
      <w:proofErr w:type="gramStart"/>
      <w:r w:rsidRPr="003562B6">
        <w:rPr>
          <w:b/>
          <w:bCs/>
        </w:rPr>
        <w:t>sample</w:t>
      </w:r>
      <w:r w:rsidRPr="003562B6">
        <w:t>, and</w:t>
      </w:r>
      <w:proofErr w:type="gramEnd"/>
      <w:r w:rsidRPr="003562B6">
        <w:t xml:space="preserve"> compare its predictive power against established interoception questionnaires (MAIA-2, BPQ, IAS), and across a wide range of clinical and cognitive outcomes. This rigorous process yielded a 33-item scale with a stable hierarchical structure comprising three </w:t>
      </w:r>
      <w:proofErr w:type="spellStart"/>
      <w:r w:rsidRPr="003562B6">
        <w:t>metaclusters</w:t>
      </w:r>
      <w:proofErr w:type="spellEnd"/>
      <w:r w:rsidRPr="003562B6">
        <w:t xml:space="preserve"> (Interoceptive Deficit, Interoceptive Awareness, </w:t>
      </w:r>
      <w:proofErr w:type="spellStart"/>
      <w:r w:rsidRPr="003562B6">
        <w:t>Visceroception</w:t>
      </w:r>
      <w:proofErr w:type="spellEnd"/>
      <w:r w:rsidRPr="003562B6">
        <w:t>)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50CC3F07" w14:textId="77777777" w:rsidR="002E473A" w:rsidRDefault="00000000">
      <w:pPr>
        <w:pStyle w:val="FirstParagraph"/>
      </w:pPr>
      <w:proofErr w:type="gramStart"/>
      <w:r>
        <w:rPr>
          <w:i/>
          <w:iCs/>
        </w:rPr>
        <w:t>Keywords</w:t>
      </w:r>
      <w:r>
        <w:t>:Interoception</w:t>
      </w:r>
      <w:proofErr w:type="gramEnd"/>
      <w:r>
        <w:t xml:space="preserve"> questionnaire, interoceptive accuracy yscale, MAIA, Mint Validation, Body Awareness, Health</w:t>
      </w:r>
    </w:p>
    <w:p w14:paraId="469AD48C" w14:textId="77777777" w:rsidR="002E473A" w:rsidRDefault="00000000">
      <w:r>
        <w:br w:type="page"/>
      </w:r>
    </w:p>
    <w:p w14:paraId="3CD8D301" w14:textId="77777777" w:rsidR="002E473A" w:rsidRDefault="00000000">
      <w:pPr>
        <w:pStyle w:val="Heading1"/>
      </w:pPr>
      <w:bookmarkStart w:id="2" w:name="firstheader"/>
      <w:bookmarkEnd w:id="1"/>
      <w:r>
        <w:lastRenderedPageBreak/>
        <w:t>The Mint Scale: A Fresh Validation of the Multimodal Interoception Questionnaire and Comparison to the MAIA, BPQ and IAS</w:t>
      </w:r>
    </w:p>
    <w:p w14:paraId="6523A687" w14:textId="77777777" w:rsidR="002E473A" w:rsidRDefault="00000000">
      <w:pPr>
        <w:pStyle w:val="Heading1"/>
      </w:pPr>
      <w:bookmarkStart w:id="3" w:name="introduction"/>
      <w:bookmarkEnd w:id="2"/>
      <w:r>
        <w:t>Introduction</w:t>
      </w:r>
    </w:p>
    <w:p w14:paraId="23B868BA" w14:textId="77777777" w:rsidR="002E473A"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sidR="002E473A">
          <w:rPr>
            <w:rStyle w:val="Hyperlink"/>
          </w:rPr>
          <w:t>Craig, 2002</w:t>
        </w:r>
      </w:hyperlink>
      <w:r>
        <w:t xml:space="preserve">; </w:t>
      </w:r>
      <w:hyperlink w:anchor="ref-critchley2017interoception">
        <w:r w:rsidR="002E473A">
          <w:rPr>
            <w:rStyle w:val="Hyperlink"/>
          </w:rPr>
          <w:t>Critchley &amp; Garfinkel, 2017</w:t>
        </w:r>
      </w:hyperlink>
      <w:r>
        <w:t>). Despite its growing recognition, the field has been hindered by inconsistent definitions and fragmented measurement approaches (</w:t>
      </w:r>
      <w:hyperlink w:anchor="ref-desmedt2022measures">
        <w:r w:rsidR="002E473A">
          <w:rPr>
            <w:rStyle w:val="Hyperlink"/>
          </w:rPr>
          <w:t>Desmedt et al., 2022</w:t>
        </w:r>
      </w:hyperlink>
      <w:r>
        <w:t xml:space="preserve">, </w:t>
      </w:r>
      <w:hyperlink w:anchor="ref-desmedt2025discrepancies">
        <w:r w:rsidR="002E473A">
          <w:rPr>
            <w:rStyle w:val="Hyperlink"/>
          </w:rPr>
          <w:t>2025</w:t>
        </w:r>
      </w:hyperlink>
      <w:r>
        <w:t xml:space="preserve">; </w:t>
      </w:r>
      <w:hyperlink w:anchor="ref-khalsa2018interoception">
        <w:r w:rsidR="002E473A">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sidR="002E473A">
          <w:rPr>
            <w:rStyle w:val="Hyperlink"/>
          </w:rPr>
          <w:t>Garfinkel et al., 2015</w:t>
        </w:r>
      </w:hyperlink>
      <w:r>
        <w:t>) within a rapidly evolving theoretical landscape.</w:t>
      </w:r>
    </w:p>
    <w:p w14:paraId="74967FAF" w14:textId="77777777" w:rsidR="002E473A"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sidR="002E473A">
          <w:rPr>
            <w:rStyle w:val="Hyperlink"/>
          </w:rPr>
          <w:t>Zamariola et al., 2018</w:t>
        </w:r>
      </w:hyperlink>
      <w:r>
        <w:t>), yielding low inter-task correlations (</w:t>
      </w:r>
      <w:hyperlink w:anchor="ref-murphy2018classifying">
        <w:r w:rsidR="002E473A">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4CAD4DCA" w14:textId="77777777" w:rsidR="002E473A"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sidR="002E473A">
          <w:rPr>
            <w:rStyle w:val="Hyperlink"/>
          </w:rPr>
          <w:t>Desmedt et al., 2022</w:t>
        </w:r>
      </w:hyperlink>
      <w:r>
        <w:t xml:space="preserve">), including the Body Perception Questionnaire (BPQ, </w:t>
      </w:r>
      <w:hyperlink w:anchor="ref-kolacz2018body">
        <w:r w:rsidR="002E473A">
          <w:rPr>
            <w:rStyle w:val="Hyperlink"/>
          </w:rPr>
          <w:t>Kolacz et al., 2018</w:t>
        </w:r>
      </w:hyperlink>
      <w:r>
        <w:t xml:space="preserve">), the Body Awareness Questionnaire (BAQ, </w:t>
      </w:r>
      <w:hyperlink w:anchor="ref-shields1989body">
        <w:r w:rsidR="002E473A">
          <w:rPr>
            <w:rStyle w:val="Hyperlink"/>
          </w:rPr>
          <w:t>Shields et al., 1989</w:t>
        </w:r>
      </w:hyperlink>
      <w:r>
        <w:t xml:space="preserve">), the Multidimensional Assessment of Interoceptive Awareness (MAIA, </w:t>
      </w:r>
      <w:hyperlink w:anchor="ref-mehling2018multidimensional">
        <w:r w:rsidR="002E473A">
          <w:rPr>
            <w:rStyle w:val="Hyperlink"/>
          </w:rPr>
          <w:t>Mehling et al., 2018</w:t>
        </w:r>
      </w:hyperlink>
      <w:r>
        <w:t xml:space="preserve">), and the Interoceptive Accuracy Scale (IAS, </w:t>
      </w:r>
      <w:hyperlink w:anchor="ref-murphy2018classifying">
        <w:r w:rsidR="002E473A">
          <w:rPr>
            <w:rStyle w:val="Hyperlink"/>
          </w:rPr>
          <w:t>Murphy et al., 2018</w:t>
        </w:r>
      </w:hyperlink>
      <w:r>
        <w:t>).</w:t>
      </w:r>
    </w:p>
    <w:p w14:paraId="2F8E29E8" w14:textId="77777777" w:rsidR="002E473A"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sidR="002E473A">
          <w:rPr>
            <w:rStyle w:val="Hyperlink"/>
          </w:rPr>
          <w:t>Kolacz et al., 2018</w:t>
        </w:r>
      </w:hyperlink>
      <w:r>
        <w:t xml:space="preserve">). 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 The MAIA incorporated ideas from the then-booming emotion regulation and mindfulness fields, including subscales assessing adaptive coping strategies and metacognitive insights about the body. More recently, the IAS was developed to circumvent these high-level - possibly tangential - constructs, instead capturing subjective reports of concrete bodily events (e.g., coughing, sneezing) as proxies for interoceptive accuracy. </w:t>
      </w:r>
      <w:r>
        <w:rPr>
          <w:b/>
          <w:bCs/>
        </w:rPr>
        <w:t xml:space="preserve">Other proposed measures include the Body Consciousness Questionnaire (BCS, </w:t>
      </w:r>
      <w:hyperlink w:anchor="ref-miller1981consciousness">
        <w:r w:rsidR="002E473A">
          <w:rPr>
            <w:rStyle w:val="Hyperlink"/>
            <w:b/>
            <w:bCs/>
          </w:rPr>
          <w:t>Miller et al., 1981</w:t>
        </w:r>
      </w:hyperlink>
      <w:r>
        <w:rPr>
          <w:b/>
          <w:bCs/>
        </w:rPr>
        <w:t xml:space="preserve">), the Self-Awareness Questionnaire (SAQ, </w:t>
      </w:r>
      <w:hyperlink w:anchor="ref-longarzo2015relationships">
        <w:r w:rsidR="002E473A">
          <w:rPr>
            <w:rStyle w:val="Hyperlink"/>
            <w:b/>
            <w:bCs/>
          </w:rPr>
          <w:t>Longarzo et al., 2015</w:t>
        </w:r>
      </w:hyperlink>
      <w:r>
        <w:rPr>
          <w:b/>
          <w:bCs/>
        </w:rPr>
        <w:t xml:space="preserve">), the Interoceptive Sensitivity and Attention Questionnaire (ISAQ, </w:t>
      </w:r>
      <w:hyperlink w:anchor="ref-bogaerts2022interoceptive">
        <w:r w:rsidR="002E473A">
          <w:rPr>
            <w:rStyle w:val="Hyperlink"/>
            <w:b/>
            <w:bCs/>
          </w:rPr>
          <w:t>Bogaerts et al., 2022</w:t>
        </w:r>
      </w:hyperlink>
      <w:r>
        <w:rPr>
          <w:b/>
          <w:bCs/>
        </w:rPr>
        <w:t xml:space="preserve">), the Interoceptive Confusion Questionnaire (ICQ, </w:t>
      </w:r>
      <w:hyperlink w:anchor="ref-Brewer2016">
        <w:r w:rsidR="002E473A">
          <w:rPr>
            <w:rStyle w:val="Hyperlink"/>
            <w:b/>
            <w:bCs/>
          </w:rPr>
          <w:t>Brewer et al., 2016</w:t>
        </w:r>
      </w:hyperlink>
      <w:r>
        <w:rPr>
          <w:b/>
          <w:bCs/>
        </w:rPr>
        <w:t xml:space="preserve">), and the Interoceptive Attention Scale (IATS, </w:t>
      </w:r>
      <w:hyperlink w:anchor="ref-GABRIELE2022108243">
        <w:r w:rsidR="002E473A">
          <w:rPr>
            <w:rStyle w:val="Hyperlink"/>
            <w:b/>
            <w:bCs/>
          </w:rPr>
          <w:t>Gabriele et al., 2022</w:t>
        </w:r>
      </w:hyperlink>
      <w:r>
        <w:rPr>
          <w:b/>
          <w:bCs/>
        </w:rPr>
        <w:t>); for comprehensive reviews see Desmedt et al. (</w:t>
      </w:r>
      <w:hyperlink w:anchor="ref-desmedt2022measures">
        <w:r w:rsidR="002E473A">
          <w:rPr>
            <w:rStyle w:val="Hyperlink"/>
            <w:b/>
            <w:bCs/>
          </w:rPr>
          <w:t>2022</w:t>
        </w:r>
      </w:hyperlink>
      <w:r>
        <w:rPr>
          <w:b/>
          <w:bCs/>
        </w:rPr>
        <w:t>) and Mehling et al. (</w:t>
      </w:r>
      <w:hyperlink w:anchor="ref-mehling2009body">
        <w:r w:rsidR="002E473A">
          <w:rPr>
            <w:rStyle w:val="Hyperlink"/>
            <w:b/>
            <w:bCs/>
          </w:rPr>
          <w:t>2009</w:t>
        </w:r>
      </w:hyperlink>
      <w:r>
        <w:rPr>
          <w:b/>
          <w:bCs/>
        </w:rPr>
        <w:t>).</w:t>
      </w:r>
    </w:p>
    <w:p w14:paraId="7BEA75DB" w14:textId="77777777" w:rsidR="002E473A" w:rsidRDefault="00000000">
      <w:pPr>
        <w:pStyle w:val="BodyText"/>
      </w:pPr>
      <w:r>
        <w:t>These differing philosophies have practical consequences, leading to poor convergence between scales that are assumed to measure the same construct (</w:t>
      </w:r>
      <w:hyperlink w:anchor="ref-vig2022questionnaires">
        <w:r w:rsidR="002E473A">
          <w:rPr>
            <w:rStyle w:val="Hyperlink"/>
          </w:rPr>
          <w:t>Vig et al., 2022</w:t>
        </w:r>
      </w:hyperlink>
      <w:r>
        <w:t>)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because the body constitutes a unitary representation produced by multisensory integration of bottom-up information, with substantial influence from top-down factors (</w:t>
      </w:r>
      <w:hyperlink w:anchor="ref-kirsch2023role">
        <w:r w:rsidR="002E473A">
          <w:rPr>
            <w:rStyle w:val="Hyperlink"/>
          </w:rPr>
          <w:t>Kirsch &amp; Kunde, 2023</w:t>
        </w:r>
      </w:hyperlink>
      <w:r>
        <w:t>).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6CB844D2" w14:textId="77777777" w:rsidR="002E473A" w:rsidRDefault="00000000">
      <w:pPr>
        <w:pStyle w:val="BodyText"/>
      </w:pPr>
      <w:r>
        <w:t xml:space="preserve">Perhaps most critically, existing measures often ask participants to make general assessments across most/all contexts, which does not capture the potential homeostatic relevance </w:t>
      </w:r>
      <w:r>
        <w:lastRenderedPageBreak/>
        <w:t xml:space="preserve">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t>
      </w:r>
      <w:r>
        <w:rPr>
          <w:b/>
          <w:bCs/>
        </w:rPr>
        <w:t>(e.g., during physical exercise, a moment of anxiety, excitement, or quiet rest)</w:t>
      </w:r>
      <w:r>
        <w:t>, which may or may not be relevant homeostatically.</w:t>
      </w:r>
    </w:p>
    <w:p w14:paraId="74352CA3" w14:textId="77777777" w:rsidR="002E473A"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36FE6F43" w14:textId="77777777" w:rsidR="002E473A" w:rsidRDefault="00000000">
      <w:pPr>
        <w:pStyle w:val="BodyText"/>
      </w:pPr>
      <w:r>
        <w:t xml:space="preserve">To address this gap, we developed and assessed the Multimodal Interoception Questionnaire (Mint), a new questionnaire that systematically addresses the above limitations. In Study 1, we describe the development of the Mint, using a “modality-by-context” framework to generate a comprehensive item pool, which was then refined using </w:t>
      </w:r>
      <w:r>
        <w:rPr>
          <w:b/>
          <w:bCs/>
        </w:rPr>
        <w:t>psychometric network analysis.</w:t>
      </w:r>
      <w:r>
        <w:t xml:space="preserve"> Network psychometrics is an emerging framework for studying relationships among </w:t>
      </w:r>
      <w:r>
        <w:lastRenderedPageBreak/>
        <w:t>psychological variables by representing them as a network structure (</w:t>
      </w:r>
      <w:hyperlink w:anchor="ref-epskamp2018network">
        <w:r w:rsidR="002E473A">
          <w:rPr>
            <w:rStyle w:val="Hyperlink"/>
          </w:rPr>
          <w:t>Epskamp et al., 2018</w:t>
        </w:r>
      </w:hyperlink>
      <w: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sidR="002E473A">
          <w:rPr>
            <w:rStyle w:val="Hyperlink"/>
          </w:rPr>
          <w:t>Christensen et al., 2020</w:t>
        </w:r>
      </w:hyperlink>
      <w:r>
        <w:t xml:space="preserve">; </w:t>
      </w:r>
      <w:hyperlink w:anchor="ref-golino2017exploratory">
        <w:r w:rsidR="002E473A">
          <w:rPr>
            <w:rStyle w:val="Hyperlink"/>
          </w:rPr>
          <w:t>H. F. Golino &amp; Epskamp, 2017</w:t>
        </w:r>
      </w:hyperlink>
      <w:r>
        <w:t xml:space="preserve">; </w:t>
      </w:r>
      <w:hyperlink w:anchor="ref-magnavita2022development">
        <w:r w:rsidR="002E473A">
          <w:rPr>
            <w:rStyle w:val="Hyperlink"/>
          </w:rPr>
          <w:t>Magnavita &amp; Chiorri, 2022</w:t>
        </w:r>
      </w:hyperlink>
      <w:r>
        <w:t xml:space="preserve">; </w:t>
      </w:r>
      <w:hyperlink w:anchor="ref-wongvorachan2025item">
        <w:r w:rsidR="002E473A">
          <w:rPr>
            <w:rStyle w:val="Hyperlink"/>
          </w:rPr>
          <w:t>Wongvorachan, 2025</w:t>
        </w:r>
      </w:hyperlink>
      <w: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sidR="002E473A">
          <w:rPr>
            <w:rStyle w:val="Hyperlink"/>
          </w:rPr>
          <w:t>H. F. Golino &amp; Epskamp, 2017</w:t>
        </w:r>
      </w:hyperlink>
      <w:r>
        <w:t xml:space="preserve">). In Study 2, we evaluate the final 33-item version of the Mint against the established interoception questionnaires, </w:t>
      </w:r>
      <w:r>
        <w:rPr>
          <w:b/>
          <w:bCs/>
        </w:rPr>
        <w:t>demonstrating that Mint scores have a robust structure and predictive validity for a range of clinically-relevant outcomes</w:t>
      </w:r>
      <w:r>
        <w:t>.</w:t>
      </w:r>
    </w:p>
    <w:p w14:paraId="59FF3587" w14:textId="77777777" w:rsidR="002E473A" w:rsidRDefault="00000000">
      <w:pPr>
        <w:pStyle w:val="Heading1"/>
      </w:pPr>
      <w:bookmarkStart w:id="4" w:name="study-1-item-selection"/>
      <w:bookmarkEnd w:id="3"/>
      <w:r>
        <w:t>Study 1: Item Selection</w:t>
      </w:r>
    </w:p>
    <w:p w14:paraId="2EB5743B" w14:textId="77777777" w:rsidR="002E473A" w:rsidRDefault="00000000">
      <w:pPr>
        <w:pStyle w:val="FirstParagraph"/>
      </w:pPr>
      <w:r>
        <w:t xml:space="preserve">The aim of Study 1 was to develop a new interoception questionnaire by generating a comprehensive item pool and subsequently refining it into </w:t>
      </w:r>
      <w:r>
        <w:rPr>
          <w:b/>
          <w:bCs/>
        </w:rPr>
        <w:t>a scale yielding psychometrically robust scores</w:t>
      </w:r>
      <w:r>
        <w:t xml:space="preserv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w:t>
      </w:r>
      <w:r>
        <w:lastRenderedPageBreak/>
        <w:t>instead build on existing research and synthesise existing ideas and frameworks into a comprehensive and modern tool that captures both the richness of interoceptive experiences and the most prominent facets of interoception.</w:t>
      </w:r>
    </w:p>
    <w:p w14:paraId="0238BC67" w14:textId="77777777" w:rsidR="002E473A" w:rsidRDefault="00000000">
      <w:pPr>
        <w:pStyle w:val="BodyText"/>
      </w:pPr>
      <w:r>
        <w:t>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5A05B09" w14:textId="77777777" w:rsidR="002E473A"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sidR="002E473A">
          <w:rPr>
            <w:rStyle w:val="Hyperlink"/>
          </w:rPr>
          <w:t>Crucianelli &amp; Ehrsson, 2023</w:t>
        </w:r>
      </w:hyperlink>
      <w:r>
        <w:t>). We also included a “general state” category to capture the integrated sense of the body’s overall physiological condition (</w:t>
      </w:r>
      <w:hyperlink w:anchor="ref-craig2002how">
        <w:r w:rsidR="002E473A">
          <w:rPr>
            <w:rStyle w:val="Hyperlink"/>
          </w:rPr>
          <w:t>Craig, 2002</w:t>
        </w:r>
      </w:hyperlink>
      <w:r>
        <w:t xml:space="preserve">; </w:t>
      </w:r>
      <w:hyperlink w:anchor="ref-craig2003interoception">
        <w:r w:rsidR="002E473A">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03D15B24" w14:textId="77777777" w:rsidR="002E473A" w:rsidRDefault="00000000">
      <w:pPr>
        <w:pStyle w:val="BodyText"/>
      </w:pPr>
      <w:r>
        <w:t xml:space="preserve">The initial pool of 120 was then reduced </w:t>
      </w:r>
      <w:r>
        <w:rPr>
          <w:b/>
          <w:bCs/>
        </w:rPr>
        <w:t>using psychometric network-based techniques</w:t>
      </w:r>
      <w:r>
        <w:t>,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multi-stage process was designed to produce a subset of items with a clear, stable, and theoretically rich hierarchical structure, ready for formal validation in Study 2.</w:t>
      </w:r>
    </w:p>
    <w:p w14:paraId="11A229A8" w14:textId="77777777" w:rsidR="002E473A" w:rsidRDefault="00000000">
      <w:pPr>
        <w:pStyle w:val="Heading2"/>
      </w:pPr>
      <w:bookmarkStart w:id="5" w:name="methods"/>
      <w:r>
        <w:t>Methods</w:t>
      </w:r>
    </w:p>
    <w:p w14:paraId="1524C0A4" w14:textId="77777777" w:rsidR="002E473A" w:rsidRDefault="00000000">
      <w:pPr>
        <w:pStyle w:val="Heading3"/>
      </w:pPr>
      <w:bookmarkStart w:id="6" w:name="participants"/>
      <w:r>
        <w:t>Participants</w:t>
      </w:r>
    </w:p>
    <w:p w14:paraId="3DFF064E" w14:textId="77777777" w:rsidR="002E473A"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sidR="002E473A">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1.07% non-binary; country of residence: 63.86% UK, 26.65% USA, 9.48% other). Within this sample, 68.3% identified as White, 11.3% as Black, </w:t>
      </w:r>
      <w:r>
        <w:lastRenderedPageBreak/>
        <w:t xml:space="preserve">5.7% as Mixed ethnicity, and 4.1% as South Asian, 9.3% as others and 0.7% preferred to not disclose. </w:t>
      </w:r>
      <w:r w:rsidRPr="003562B6">
        <w:rPr>
          <w:b/>
          <w:bCs/>
        </w:rPr>
        <w:t>This study was approved by the University of Sussex’ Ethics Committee (ER/MB2021/1).</w:t>
      </w:r>
    </w:p>
    <w:p w14:paraId="7BA1B70C" w14:textId="77777777" w:rsidR="002E473A" w:rsidRDefault="00000000">
      <w:pPr>
        <w:pStyle w:val="Heading3"/>
      </w:pPr>
      <w:bookmarkStart w:id="7" w:name="item-generation"/>
      <w:bookmarkEnd w:id="6"/>
      <w:r>
        <w:t>Item Generation</w:t>
      </w:r>
    </w:p>
    <w:p w14:paraId="05F849F7" w14:textId="77777777" w:rsidR="002E473A"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sidR="002E473A">
          <w:rPr>
            <w:rStyle w:val="Hyperlink"/>
          </w:rPr>
          <w:t>Figure 1</w:t>
        </w:r>
      </w:hyperlink>
      <w:r>
        <w:t>).</w:t>
      </w:r>
    </w:p>
    <w:p w14:paraId="213A2CEC" w14:textId="77777777" w:rsidR="002E473A" w:rsidRDefault="00000000">
      <w:pPr>
        <w:pStyle w:val="BodyText"/>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 Using this orthogonal 7x6 modality/facet grid as a conceptual scaffolding, we generated 120 initial items, striving for a balanced number of items with consistent phrasing within modalities </w:t>
      </w:r>
      <w:r>
        <w:lastRenderedPageBreak/>
        <w:t>and facets.</w:t>
      </w:r>
      <w:r>
        <w:rPr>
          <w:rStyle w:val="FootnoteReference"/>
        </w:rPr>
        <w:footnoteReference w:id="1"/>
      </w:r>
      <w:r>
        <w:t xml:space="preserve"> Items were generated through conversations between the researchers/authors of this paper. </w:t>
      </w:r>
    </w:p>
    <w:p w14:paraId="4FDA294F" w14:textId="77777777" w:rsidR="002E473A" w:rsidRDefault="00000000">
      <w:pPr>
        <w:pStyle w:val="BodyText"/>
      </w:pPr>
      <w:r>
        <w:t>We additionally crafted 8 “attention check” items blending in (and distributed across) each category. These items were designed to match the grammatical structure and response 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7F6F91CA" w14:textId="77777777" w:rsidR="002E473A" w:rsidRDefault="00000000">
      <w:pPr>
        <w:pStyle w:val="Heading3"/>
      </w:pPr>
      <w:bookmarkStart w:id="8" w:name="procedure"/>
      <w:bookmarkEnd w:id="7"/>
      <w:r>
        <w:lastRenderedPageBreak/>
        <w:t>Procedure</w:t>
      </w:r>
    </w:p>
    <w:p w14:paraId="7638E745" w14:textId="77777777" w:rsidR="002E473A"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sidR="002E473A">
          <w:rPr>
            <w:rStyle w:val="Hyperlink"/>
          </w:rPr>
          <w:t>De Leeuw, 2015</w:t>
        </w:r>
      </w:hyperlink>
      <w:r>
        <w:t>), and item responses were recorded using 7-points Likert scales (0 = Disagree, 6 = Agree).</w:t>
      </w:r>
    </w:p>
    <w:p w14:paraId="000D29B2" w14:textId="77777777" w:rsidR="002E473A" w:rsidRDefault="00000000">
      <w:pPr>
        <w:pStyle w:val="Heading3"/>
      </w:pPr>
      <w:bookmarkStart w:id="9" w:name="data-analysis"/>
      <w:bookmarkEnd w:id="8"/>
      <w:r>
        <w:t>Data Analysis</w:t>
      </w:r>
    </w:p>
    <w:p w14:paraId="14054D3C" w14:textId="77777777" w:rsidR="002E473A" w:rsidRDefault="00000000">
      <w:pPr>
        <w:pStyle w:val="FirstParagraph"/>
      </w:pPr>
      <w:r>
        <w:t xml:space="preserve">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sidR="002E473A">
          <w:rPr>
            <w:rStyle w:val="Hyperlink"/>
          </w:rPr>
          <w:t>Sibson, 1978</w:t>
        </w:r>
      </w:hyperlink>
      <w:r>
        <w:t xml:space="preserve">), the Adjusted RV (Rvadj, </w:t>
      </w:r>
      <w:hyperlink w:anchor="ref-mayer2011exploratory">
        <w:r w:rsidR="002E473A">
          <w:rPr>
            <w:rStyle w:val="Hyperlink"/>
          </w:rPr>
          <w:t>Mayer et al., 2011</w:t>
        </w:r>
      </w:hyperlink>
      <w:r>
        <w:t xml:space="preserve">), and the Similarity of Matrices Index (SMI, </w:t>
      </w:r>
      <w:hyperlink w:anchor="ref-indahl2018similarity">
        <w:r w:rsidR="002E473A">
          <w:rPr>
            <w:rStyle w:val="Hyperlink"/>
          </w:rPr>
          <w:t>Indahl et al., 2018</w:t>
        </w:r>
      </w:hyperlink>
      <w:r>
        <w:t xml:space="preserve">). For each index, we bootstrapped the difference between the similarity with the facet and modality conditions to test whether the correlation matrix in the random-grouping condition is significantly more similar to any of the two other conditions. Items deemed “redundant” (which can distort the item structure estimation by introducing multicollinearity or local dependencies) were identified (using the recommended threshold of 0.25) using Unique Variable Analysis (UVA, </w:t>
      </w:r>
      <w:hyperlink w:anchor="ref-christensen2023unique">
        <w:r w:rsidR="002E473A">
          <w:rPr>
            <w:rStyle w:val="Hyperlink"/>
          </w:rPr>
          <w:t>Christensen et al., 2023</w:t>
        </w:r>
      </w:hyperlink>
      <w:r>
        <w:t xml:space="preserve">), </w:t>
      </w:r>
      <w:r>
        <w:rPr>
          <w:b/>
          <w:bCs/>
        </w:rPr>
        <w:t>a principled method derived from network psychometrics.</w:t>
      </w:r>
    </w:p>
    <w:p w14:paraId="2A70B9C9" w14:textId="77777777" w:rsidR="002E473A" w:rsidRDefault="00000000">
      <w:pPr>
        <w:pStyle w:val="BodyText"/>
      </w:pPr>
      <w:r>
        <w:lastRenderedPageBreak/>
        <w:t xml:space="preserve">The structure of the items was analyzed using the recently-developed Exploratory Graph Analysis (EGA, </w:t>
      </w:r>
      <w:hyperlink w:anchor="ref-golino2017exploratory">
        <w:r w:rsidR="002E473A">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sidR="002E473A">
          <w:rPr>
            <w:rStyle w:val="Hyperlink"/>
          </w:rPr>
          <w:t>H. Golino et al., 2020</w:t>
        </w:r>
      </w:hyperlink>
      <w:r>
        <w:t>). At a fundamental level, EGA conceptualizes variables as nodes in a network, with connections (edges) reflecting associations between them.</w:t>
      </w:r>
    </w:p>
    <w:p w14:paraId="419423FD" w14:textId="77777777" w:rsidR="002E473A" w:rsidRDefault="00000000">
      <w:pPr>
        <w:pStyle w:val="BodyText"/>
      </w:pPr>
      <w: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sidR="002E473A">
          <w:rPr>
            <w:rStyle w:val="Hyperlink"/>
          </w:rPr>
          <w:t>Christensen &amp; Golino, 2021b</w:t>
        </w:r>
      </w:hyperlink>
      <w:r>
        <w:t>). In contrast, EGA estimates a network of conditional associations among items and identifies dimensions as communities of strongly connected nodes (</w:t>
      </w:r>
      <w:hyperlink w:anchor="ref-golino2017exploratory">
        <w:r w:rsidR="002E473A">
          <w:rPr>
            <w:rStyle w:val="Hyperlink"/>
          </w:rPr>
          <w:t>H. F. Golino &amp; Epskamp, 2017</w:t>
        </w:r>
      </w:hyperlink>
      <w:r>
        <w:t>). Rather than attributing associations to latent causes, this approach allows structure to emerge from patterns of direct relationships among items. This framework is particularly appropriate 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sidR="002E473A">
          <w:rPr>
            <w:rStyle w:val="Hyperlink"/>
          </w:rPr>
          <w:t>Christensen &amp; Golino, 2021b</w:t>
        </w:r>
      </w:hyperlink>
      <w:r>
        <w:t xml:space="preserve">; </w:t>
      </w:r>
      <w:hyperlink w:anchor="ref-jimenez2023dimensionality">
        <w:r w:rsidR="002E473A">
          <w:rPr>
            <w:rStyle w:val="Hyperlink"/>
          </w:rPr>
          <w:t>Jiménez et al., 2023</w:t>
        </w:r>
      </w:hyperlink>
      <w:r>
        <w:t>).</w:t>
      </w:r>
    </w:p>
    <w:p w14:paraId="6B356B9D" w14:textId="77777777" w:rsidR="002E473A" w:rsidRDefault="00000000">
      <w:pPr>
        <w:pStyle w:val="BodyText"/>
      </w:pPr>
      <w:r>
        <w:t>After removing redundant items using UVA, we iteratively fitted hierarchical EGA models (which additionally estimate higher-order “meta” clusters) using “glasso” (</w:t>
      </w:r>
      <w:hyperlink w:anchor="ref-friedman2008sparse">
        <w:r w:rsidR="002E473A">
          <w:rPr>
            <w:rStyle w:val="Hyperlink"/>
          </w:rPr>
          <w:t xml:space="preserve">Friedman et </w:t>
        </w:r>
        <w:r w:rsidR="002E473A">
          <w:rPr>
            <w:rStyle w:val="Hyperlink"/>
          </w:rPr>
          <w:lastRenderedPageBreak/>
          <w:t>al., 2008</w:t>
        </w:r>
      </w:hyperlink>
      <w:r>
        <w:t>) and the “Leiden” algorithm (</w:t>
      </w:r>
      <w:hyperlink w:anchor="ref-traag2019louvain">
        <w:r w:rsidR="002E473A">
          <w:rPr>
            <w:rStyle w:val="Hyperlink"/>
          </w:rPr>
          <w:t>Traag et al., 2019</w:t>
        </w:r>
      </w:hyperlink>
      <w:r>
        <w:t>) for community detection, refining the item pool at each step. 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sidR="002E473A">
          <w:rPr>
            <w:rStyle w:val="Hyperlink"/>
          </w:rPr>
          <w:t>Christensen &amp; Golino, 2021a</w:t>
        </w:r>
      </w:hyperlink>
      <w:r>
        <w:t xml:space="preserve">). Although the recommended removal threshold is </w:t>
      </w:r>
      <m:oMath>
        <m:r>
          <m:rPr>
            <m:sty m:val="p"/>
          </m:rPr>
          <w:rPr>
            <w:rFonts w:ascii="Cambria Math" w:hAnsi="Cambria Math"/>
          </w:rPr>
          <m:t>≥</m:t>
        </m:r>
      </m:oMath>
      <w: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 Finally, within each lower-level cluster, we selected the three items with the highest node centrality (i.e., the strongest loadings within the cluster). 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sidR="002E473A">
          <w:rPr>
            <w:rStyle w:val="Hyperlink"/>
          </w:rPr>
          <w:t>Christensen &amp; Golino, 2021a</w:t>
        </w:r>
      </w:hyperlink>
      <w:r>
        <w:t xml:space="preserve">) indicates a robust dimension, whereas lower values suggest unstable, sample-dependent, or poorly defined dimensions. Lastly, we assessed model fit using the Generalized Total Entropy Fit Index (TEFI, </w:t>
      </w:r>
      <w:hyperlink w:anchor="ref-Golino02112021">
        <w:r w:rsidR="002E473A">
          <w:rPr>
            <w:rStyle w:val="Hyperlink"/>
          </w:rPr>
          <w:t>H. Golino et al., 2021</w:t>
        </w:r>
      </w:hyperlink>
      <w:r>
        <w:t>), where higher values (i.e., values closer to zero) indicate better fit. We additionally conducted an exploratory factor analysis (EFA) following the same item-removal procedure and compared the resulting structure with the EGA solution to complement the psychometric network approach with a traditional factor-analytic framework.</w:t>
      </w:r>
    </w:p>
    <w:p w14:paraId="7B6E438B" w14:textId="77777777" w:rsidR="002E473A" w:rsidRDefault="00000000">
      <w:pPr>
        <w:pStyle w:val="BodyText"/>
      </w:pPr>
      <w:r>
        <w:t xml:space="preserve">For both studies, data analysis was carried out using R (4.4.3, </w:t>
      </w:r>
      <w:hyperlink w:anchor="ref-Rcoreteam">
        <w:r w:rsidR="002E473A">
          <w:rPr>
            <w:rStyle w:val="Hyperlink"/>
          </w:rPr>
          <w:t>R Core Team, 2025</w:t>
        </w:r>
      </w:hyperlink>
      <w:r>
        <w:t xml:space="preserve">), leveraging the </w:t>
      </w:r>
      <w:r>
        <w:rPr>
          <w:i/>
          <w:iCs/>
        </w:rPr>
        <w:t>easystats</w:t>
      </w:r>
      <w:r>
        <w:t xml:space="preserve"> ecosystem (</w:t>
      </w:r>
      <w:hyperlink w:anchor="ref-ludecke2019insight">
        <w:r w:rsidR="002E473A">
          <w:rPr>
            <w:rStyle w:val="Hyperlink"/>
          </w:rPr>
          <w:t>Lüdecke et al., 2019</w:t>
        </w:r>
      </w:hyperlink>
      <w:r>
        <w:t xml:space="preserve">, </w:t>
      </w:r>
      <w:hyperlink w:anchor="ref-ludecke2020extracting">
        <w:r w:rsidR="002E473A">
          <w:rPr>
            <w:rStyle w:val="Hyperlink"/>
          </w:rPr>
          <w:t>2020</w:t>
        </w:r>
      </w:hyperlink>
      <w:r>
        <w:t xml:space="preserve">) and the </w:t>
      </w:r>
      <w:r>
        <w:rPr>
          <w:i/>
          <w:iCs/>
        </w:rPr>
        <w:t>EGAnet</w:t>
      </w:r>
      <w:r>
        <w:t xml:space="preserve"> package (</w:t>
      </w:r>
      <w:hyperlink w:anchor="ref-christensen2021estimating">
        <w:r w:rsidR="002E473A">
          <w:rPr>
            <w:rStyle w:val="Hyperlink"/>
          </w:rPr>
          <w:t>Christensen &amp; Golino, 2021a</w:t>
        </w:r>
      </w:hyperlink>
      <w:r>
        <w:t xml:space="preserve">). The reproducible code and additional details are available at </w:t>
      </w:r>
      <w:r>
        <w:rPr>
          <w:i/>
          <w:iCs/>
        </w:rPr>
        <w:t>[MASKED FOR REVIEW]</w:t>
      </w:r>
      <w:r>
        <w:t xml:space="preserve">. </w:t>
      </w:r>
    </w:p>
    <w:p w14:paraId="50221FB6" w14:textId="77777777" w:rsidR="002E473A" w:rsidRDefault="00000000">
      <w:pPr>
        <w:pStyle w:val="Heading2"/>
      </w:pPr>
      <w:bookmarkStart w:id="10" w:name="results"/>
      <w:bookmarkEnd w:id="5"/>
      <w:bookmarkEnd w:id="9"/>
      <w:r>
        <w:lastRenderedPageBreak/>
        <w:t>Results</w:t>
      </w:r>
    </w:p>
    <w:p w14:paraId="48275877" w14:textId="77777777" w:rsidR="002E473A"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2879B4C8" w14:textId="77777777" w:rsidR="002E473A" w:rsidRDefault="00000000">
      <w:pPr>
        <w:pStyle w:val="BodyText"/>
      </w:pPr>
      <w:r>
        <w:t xml:space="preserve">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 The final hierarchical EGA model (TEFI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Olfactory 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Of note, the dimension stability of the higher clusters showed low structure consistency for all high-order clusters (23%-47%). Within the factor-analytic framework, factor retention using oblimin rotation indicated both a 1-factor </w:t>
      </w:r>
      <w:r>
        <w:lastRenderedPageBreak/>
        <w:t>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solution broadly replicated the domain structure identified by EGA, it tended to yield slightly broader factors.</w:t>
      </w:r>
    </w:p>
    <w:p w14:paraId="6019378B" w14:textId="77777777" w:rsidR="002E473A"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4274B600" w14:textId="77777777" w:rsidR="002E473A" w:rsidRDefault="00000000">
      <w:pPr>
        <w:pStyle w:val="Heading2"/>
      </w:pPr>
      <w:bookmarkStart w:id="11" w:name="discussion"/>
      <w:bookmarkEnd w:id="10"/>
      <w:r>
        <w:lastRenderedPageBreak/>
        <w:t>Discussion</w:t>
      </w:r>
    </w:p>
    <w:p w14:paraId="1276E410" w14:textId="77777777" w:rsidR="002E473A"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7617E6EB" w14:textId="77777777" w:rsidR="002E473A" w:rsidRDefault="00000000">
      <w:pPr>
        <w:pStyle w:val="BodyText"/>
      </w:pPr>
      <w:r>
        <w:t xml:space="preserve">The resulting hierarchical structure offers </w:t>
      </w:r>
      <w:r>
        <w:rPr>
          <w:b/>
          <w:bCs/>
        </w:rPr>
        <w:t>interpretable insights</w:t>
      </w:r>
      <w:r>
        <w:t xml:space="preserve">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0E02AC8D" w14:textId="77777777" w:rsidR="002E473A" w:rsidRDefault="00000000">
      <w:pPr>
        <w:pStyle w:val="BodyText"/>
      </w:pPr>
      <w:r>
        <w:rPr>
          <w:b/>
          <w:bCs/>
        </w:rPr>
        <w:t xml:space="preserve">Study 1 also examined whether item presentation, grouping by modality, facet, or randomly, affected the psychometric structure. No significant effects emerged, though a </w:t>
      </w:r>
      <w:r>
        <w:rPr>
          <w:b/>
          <w:bCs/>
        </w:rPr>
        <w:lastRenderedPageBreak/>
        <w:t>consistent trend suggested modality-based grouping may better reveal the underlying structure. This remains preliminary given per-condition sample sizes (</w:t>
      </w:r>
      <m:oMath>
        <m:r>
          <w:rPr>
            <w:rFonts w:ascii="Cambria Math" w:hAnsi="Cambria Math"/>
          </w:rPr>
          <m:t>N</m:t>
        </m:r>
        <m:r>
          <m:rPr>
            <m:sty m:val="p"/>
          </m:rPr>
          <w:rPr>
            <w:rFonts w:ascii="Cambria Math" w:hAnsi="Cambria Math"/>
          </w:rPr>
          <m:t>±</m:t>
        </m:r>
        <m:r>
          <w:rPr>
            <w:rFonts w:ascii="Cambria Math" w:hAnsi="Cambria Math"/>
          </w:rPr>
          <m:t>200</m:t>
        </m:r>
      </m:oMath>
      <w:r>
        <w:rPr>
          <w:b/>
          <w:bCs/>
        </w:rPr>
        <w:t>), but represents an under-investigated aspect of questionnaire design worthy of future research.</w:t>
      </w:r>
    </w:p>
    <w:p w14:paraId="17A25559" w14:textId="77777777" w:rsidR="002E473A" w:rsidRDefault="00000000">
      <w:pPr>
        <w:pStyle w:val="Heading1"/>
      </w:pPr>
      <w:bookmarkStart w:id="12" w:name="X3ca031b32d4360f9d1f026d5353082086b82700"/>
      <w:bookmarkEnd w:id="4"/>
      <w:bookmarkEnd w:id="11"/>
      <w:r>
        <w:t>Study 2: Convergent and Criterion Validity</w:t>
      </w:r>
    </w:p>
    <w:p w14:paraId="49B0ECAE" w14:textId="77777777" w:rsidR="002E473A"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to </w:t>
      </w:r>
      <w:r>
        <w:rPr>
          <w:b/>
          <w:bCs/>
        </w:rPr>
        <w:t>examine the psychometric properties of Mint scores</w:t>
      </w:r>
      <w:r>
        <w:t xml:space="preserve"> and its relationship with existing measures in a large,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w:t>
      </w:r>
      <w:r>
        <w:rPr>
          <w:b/>
          <w:bCs/>
        </w:rPr>
        <w:t>the criterion validity of Mint scores</w:t>
      </w:r>
      <w:r>
        <w:t xml:space="preserve"> by directly comparing the predictive power of all interoception questionnaires across a broad range of outcomes, including emotional, cognitive, and clinical variables. 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2374B5A4" w14:textId="77777777" w:rsidR="002E473A" w:rsidRDefault="00000000">
      <w:pPr>
        <w:pStyle w:val="Heading2"/>
      </w:pPr>
      <w:bookmarkStart w:id="13" w:name="methods-1"/>
      <w:r>
        <w:lastRenderedPageBreak/>
        <w:t>Methods</w:t>
      </w:r>
    </w:p>
    <w:p w14:paraId="4F6913AB" w14:textId="77777777" w:rsidR="002E473A" w:rsidRDefault="00000000">
      <w:pPr>
        <w:pStyle w:val="Heading3"/>
      </w:pPr>
      <w:bookmarkStart w:id="14" w:name="participants-1"/>
      <w:r>
        <w:t>Participants</w:t>
      </w:r>
    </w:p>
    <w:p w14:paraId="0D245EB7" w14:textId="09C22839" w:rsidR="002E473A" w:rsidRPr="003562B6" w:rsidRDefault="00000000">
      <w:pPr>
        <w:pStyle w:val="FirstParagraph"/>
        <w:rPr>
          <w:b/>
          <w:bCs/>
        </w:rPr>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1.63% non-binary; Country of residence: 75.17% United Kingdom, 24.83% other). Within this sample, 80.3% identified as White, 6.6% as Black, 4.9% as Mixed ethnicity, and 3.0% as South Asian and 4.3% as others. </w:t>
      </w:r>
      <w:r w:rsidRPr="003562B6">
        <w:rPr>
          <w:b/>
          <w:bCs/>
        </w:rPr>
        <w:t>This study was approved by the University of Sussex’ Ethics Committee (ER/EB672/2).</w:t>
      </w:r>
    </w:p>
    <w:p w14:paraId="475252EB" w14:textId="77777777" w:rsidR="002E473A" w:rsidRDefault="00000000">
      <w:pPr>
        <w:pStyle w:val="Heading3"/>
      </w:pPr>
      <w:bookmarkStart w:id="15" w:name="measures"/>
      <w:bookmarkEnd w:id="14"/>
      <w:r>
        <w:t>Measures</w:t>
      </w:r>
    </w:p>
    <w:p w14:paraId="3C43E34E" w14:textId="77777777" w:rsidR="002E473A" w:rsidRDefault="00000000">
      <w:pPr>
        <w:pStyle w:val="Heading4"/>
        <w:rPr>
          <w:vanish/>
          <w:specVanish/>
        </w:rPr>
      </w:pPr>
      <w:r>
        <w:t xml:space="preserve">Interoception Questionnaires. </w:t>
      </w:r>
    </w:p>
    <w:p w14:paraId="1373EA53" w14:textId="77777777" w:rsidR="002E473A"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t xml:space="preserve"> = 0.85), Interoceptive Deficit (</w:t>
      </w:r>
      <m:oMath>
        <m:r>
          <w:rPr>
            <w:rFonts w:ascii="Cambria Math" w:hAnsi="Cambria Math"/>
          </w:rPr>
          <m:t>ω</m:t>
        </m:r>
      </m:oMath>
      <w:r>
        <w:t xml:space="preserve"> =0.74), Visceroception (</w:t>
      </w:r>
      <m:oMath>
        <m:r>
          <w:rPr>
            <w:rFonts w:ascii="Cambria Math" w:hAnsi="Cambria Math"/>
          </w:rPr>
          <m:t>ω</m:t>
        </m:r>
      </m:oMath>
      <w:r>
        <w:t xml:space="preserve"> = 0.88).</w:t>
      </w:r>
    </w:p>
    <w:p w14:paraId="60F13476" w14:textId="77777777" w:rsidR="002E473A" w:rsidRDefault="00000000">
      <w:pPr>
        <w:pStyle w:val="BodyText"/>
      </w:pPr>
      <w:r>
        <w:t xml:space="preserve">The Multidimensional Assessment of Interoceptive Awareness (MAIA-2, </w:t>
      </w:r>
      <w:hyperlink w:anchor="ref-mehling2018multidimensional">
        <w:r w:rsidR="002E473A">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xml:space="preserve">). It includes bodily dimensions such as Body Listening, Noticing, Emotional Awareness, dimensions related to emotion regulation, such as Trust, Not-worrying, and Self-Regulation, as </w:t>
      </w:r>
      <w:r>
        <w:lastRenderedPageBreak/>
        <w:t>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sidR="002E473A">
          <w:rPr>
            <w:rStyle w:val="Hyperlink"/>
          </w:rPr>
          <w:t>Ferentzi et al., 2021</w:t>
        </w:r>
      </w:hyperlink>
      <w:r>
        <w:t xml:space="preserve">). The subscales of the MAIA-2 showed an acceptable to good internal consistency: </w:t>
      </w:r>
      <m:oMath>
        <m:r>
          <w:rPr>
            <w:rFonts w:ascii="Cambria Math" w:hAnsi="Cambria Math"/>
          </w:rPr>
          <m:t>ω</m:t>
        </m:r>
      </m:oMath>
      <w:r>
        <w:t xml:space="preserve"> Attention regulation = 0.87, </w:t>
      </w:r>
      <m:oMath>
        <m:r>
          <w:rPr>
            <w:rFonts w:ascii="Cambria Math" w:hAnsi="Cambria Math"/>
          </w:rPr>
          <m:t>ω</m:t>
        </m:r>
      </m:oMath>
      <w:r>
        <w:t xml:space="preserve"> Body listening = 0.76, </w:t>
      </w:r>
      <m:oMath>
        <m:r>
          <w:rPr>
            <w:rFonts w:ascii="Cambria Math" w:hAnsi="Cambria Math"/>
          </w:rPr>
          <m:t>ω</m:t>
        </m:r>
      </m:oMath>
      <w:r>
        <w:t xml:space="preserve"> Emotional awareness = 0.79, </w:t>
      </w:r>
      <m:oMath>
        <m:r>
          <w:rPr>
            <w:rFonts w:ascii="Cambria Math" w:hAnsi="Cambria Math"/>
          </w:rPr>
          <m:t>ω</m:t>
        </m:r>
      </m:oMath>
      <w:r>
        <w:t xml:space="preserve"> Not-distracting = 0.80, </w:t>
      </w:r>
      <m:oMath>
        <m:r>
          <w:rPr>
            <w:rFonts w:ascii="Cambria Math" w:hAnsi="Cambria Math"/>
          </w:rPr>
          <m:t>ω</m:t>
        </m:r>
      </m:oMath>
      <w:r>
        <w:t xml:space="preserve"> Noticing = 0.68, </w:t>
      </w:r>
      <m:oMath>
        <m:r>
          <w:rPr>
            <w:rFonts w:ascii="Cambria Math" w:hAnsi="Cambria Math"/>
          </w:rPr>
          <m:t>ω</m:t>
        </m:r>
      </m:oMath>
      <w:r>
        <w:t xml:space="preserve"> Not-worrying = 0.79, </w:t>
      </w:r>
      <m:oMath>
        <m:r>
          <w:rPr>
            <w:rFonts w:ascii="Cambria Math" w:hAnsi="Cambria Math"/>
          </w:rPr>
          <m:t>ω</m:t>
        </m:r>
      </m:oMath>
      <w:r>
        <w:t xml:space="preserve"> Self regulation = 0.84, and </w:t>
      </w:r>
      <m:oMath>
        <m:r>
          <w:rPr>
            <w:rFonts w:ascii="Cambria Math" w:hAnsi="Cambria Math"/>
          </w:rPr>
          <m:t>ω</m:t>
        </m:r>
      </m:oMath>
      <w:r>
        <w:t xml:space="preserve"> Trusting = 0.84.</w:t>
      </w:r>
    </w:p>
    <w:p w14:paraId="2076898E" w14:textId="77777777" w:rsidR="002E473A" w:rsidRDefault="00000000">
      <w:pPr>
        <w:pStyle w:val="BodyText"/>
      </w:pPr>
      <w:r>
        <w:t xml:space="preserve">The Body Perception Questionnaire - Very Short Form (BPQ-VSF, </w:t>
      </w:r>
      <w:hyperlink w:anchor="ref-cabrera2018assessing">
        <w:r w:rsidR="002E473A">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Internal consistency for the BPQ-Awareness was good (</w:t>
      </w:r>
      <m:oMath>
        <m:r>
          <w:rPr>
            <w:rFonts w:ascii="Cambria Math" w:hAnsi="Cambria Math"/>
          </w:rPr>
          <m:t>ω</m:t>
        </m:r>
      </m:oMath>
      <w:r>
        <w:t xml:space="preserve"> = 0.91).</w:t>
      </w:r>
    </w:p>
    <w:p w14:paraId="7E87DBA2" w14:textId="77777777" w:rsidR="002E473A" w:rsidRDefault="00000000">
      <w:pPr>
        <w:pStyle w:val="BodyText"/>
      </w:pPr>
      <w:r>
        <w:t xml:space="preserve">The Interoceptive Accuracy Scale (IAS, </w:t>
      </w:r>
      <w:hyperlink w:anchor="ref-murphy2020testing">
        <w:r w:rsidR="002E473A">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The IAS had good internal consistency (</w:t>
      </w:r>
      <m:oMath>
        <m:r>
          <w:rPr>
            <w:rFonts w:ascii="Cambria Math" w:hAnsi="Cambria Math"/>
          </w:rPr>
          <m:t>ω</m:t>
        </m:r>
      </m:oMath>
      <w:r>
        <w:t xml:space="preserve"> = 0.88).</w:t>
      </w:r>
    </w:p>
    <w:p w14:paraId="3D01C7E5" w14:textId="77777777" w:rsidR="002E473A" w:rsidRDefault="00000000">
      <w:pPr>
        <w:pStyle w:val="Heading4"/>
        <w:rPr>
          <w:vanish/>
          <w:specVanish/>
        </w:rPr>
      </w:pPr>
      <w:r>
        <w:t xml:space="preserve">Emotions and Cognition. </w:t>
      </w:r>
    </w:p>
    <w:p w14:paraId="085E615B" w14:textId="77777777" w:rsidR="002E473A" w:rsidRDefault="00000000">
      <w:pPr>
        <w:pStyle w:val="BodyText"/>
      </w:pPr>
      <w:r>
        <w:t xml:space="preserve">The Toronto Alexithymia Scale TAS (TAS-20, </w:t>
      </w:r>
      <w:hyperlink w:anchor="ref-leising2009toronto">
        <w:r w:rsidR="002E473A">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In this study, the TAS subscales showed poor to acceptable internal consistency: </w:t>
      </w:r>
      <m:oMath>
        <m:r>
          <w:rPr>
            <w:rFonts w:ascii="Cambria Math" w:hAnsi="Cambria Math"/>
          </w:rPr>
          <m:t>ω</m:t>
        </m:r>
      </m:oMath>
      <w:r>
        <w:t xml:space="preserve"> DIF = 0.77, </w:t>
      </w:r>
      <m:oMath>
        <m:r>
          <w:rPr>
            <w:rFonts w:ascii="Cambria Math" w:hAnsi="Cambria Math"/>
          </w:rPr>
          <m:t>ω</m:t>
        </m:r>
      </m:oMath>
      <w:r>
        <w:t xml:space="preserve"> DDF = 0.53 and </w:t>
      </w:r>
      <m:oMath>
        <m:r>
          <w:rPr>
            <w:rFonts w:ascii="Cambria Math" w:hAnsi="Cambria Math"/>
          </w:rPr>
          <m:t>ω</m:t>
        </m:r>
      </m:oMath>
      <w:r>
        <w:t xml:space="preserve"> EOT = 0.69.</w:t>
      </w:r>
    </w:p>
    <w:p w14:paraId="27C98646" w14:textId="77777777" w:rsidR="002E473A" w:rsidRDefault="00000000">
      <w:pPr>
        <w:pStyle w:val="BodyText"/>
      </w:pPr>
      <w:r>
        <w:t xml:space="preserve">The Emotion Reactivity Scale - Brief Version (B-ERS, </w:t>
      </w:r>
      <w:hyperlink w:anchor="ref-veilleux2024development">
        <w:r w:rsidR="002E473A">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 xml:space="preserve">“When I am angry/upset, it takes me much longer than most </w:t>
      </w:r>
      <w:r>
        <w:rPr>
          <w:i/>
          <w:iCs/>
        </w:rPr>
        <w:lastRenderedPageBreak/>
        <w:t>people to calm down”</w:t>
      </w:r>
      <w:r>
        <w:t xml:space="preserve">). The subscales of the B-ERS showed acceptable to good internal consistency: </w:t>
      </w:r>
      <m:oMath>
        <m:r>
          <w:rPr>
            <w:rFonts w:ascii="Cambria Math" w:hAnsi="Cambria Math"/>
          </w:rPr>
          <m:t>ω</m:t>
        </m:r>
      </m:oMath>
      <w:r>
        <w:t xml:space="preserve"> Arousal = 0.76, </w:t>
      </w:r>
      <m:oMath>
        <m:r>
          <w:rPr>
            <w:rFonts w:ascii="Cambria Math" w:hAnsi="Cambria Math"/>
          </w:rPr>
          <m:t>ω</m:t>
        </m:r>
      </m:oMath>
      <w:r>
        <w:t xml:space="preserve"> Sensitivity = 0.90 and </w:t>
      </w:r>
      <m:oMath>
        <m:r>
          <w:rPr>
            <w:rFonts w:ascii="Cambria Math" w:hAnsi="Cambria Math"/>
          </w:rPr>
          <m:t>ω</m:t>
        </m:r>
      </m:oMath>
      <w:r>
        <w:t xml:space="preserve"> Persistence = 0.74.</w:t>
      </w:r>
    </w:p>
    <w:p w14:paraId="7930F754" w14:textId="77777777" w:rsidR="002E473A" w:rsidRDefault="00000000">
      <w:pPr>
        <w:pStyle w:val="BodyText"/>
      </w:pPr>
      <w:r>
        <w:t xml:space="preserve">The Cognitive Emotion Regulation Questionnaire (CERQ-short, </w:t>
      </w:r>
      <w:hyperlink w:anchor="ref-garnefski2006cognitive">
        <w:r w:rsidR="002E473A">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m:oMath>
        <m:r>
          <w:rPr>
            <w:rFonts w:ascii="Cambria Math" w:hAnsi="Cambria Math"/>
          </w:rPr>
          <m:t>ω</m:t>
        </m:r>
      </m:oMath>
      <w:r>
        <w:t xml:space="preserve"> = 0.8), Rumination (</w:t>
      </w:r>
      <m:oMath>
        <m:r>
          <w:rPr>
            <w:rFonts w:ascii="Cambria Math" w:hAnsi="Cambria Math"/>
          </w:rPr>
          <m:t>ω</m:t>
        </m:r>
      </m:oMath>
      <w:r>
        <w:t xml:space="preserve"> = 0.61), Catastrophizing (</w:t>
      </w:r>
      <m:oMath>
        <m:r>
          <w:rPr>
            <w:rFonts w:ascii="Cambria Math" w:hAnsi="Cambria Math"/>
          </w:rPr>
          <m:t>ω</m:t>
        </m:r>
      </m:oMath>
      <w:r>
        <w:t xml:space="preserve"> = 0.84), Putting into Perspective (</w:t>
      </w:r>
      <m:oMath>
        <m:r>
          <w:rPr>
            <w:rFonts w:ascii="Cambria Math" w:hAnsi="Cambria Math"/>
          </w:rPr>
          <m:t>ω</m:t>
        </m:r>
      </m:oMath>
      <w:r>
        <w:t xml:space="preserve"> = 0.70), Positive Refocusing (</w:t>
      </w:r>
      <m:oMath>
        <m:r>
          <w:rPr>
            <w:rFonts w:ascii="Cambria Math" w:hAnsi="Cambria Math"/>
          </w:rPr>
          <m:t>ω</m:t>
        </m:r>
      </m:oMath>
      <w:r>
        <w:t xml:space="preserve"> = 0.80), Positive Reappraisal (</w:t>
      </w:r>
      <m:oMath>
        <m:r>
          <w:rPr>
            <w:rFonts w:ascii="Cambria Math" w:hAnsi="Cambria Math"/>
          </w:rPr>
          <m:t>ω</m:t>
        </m:r>
      </m:oMath>
      <w:r>
        <w:t xml:space="preserve"> = 0.75), Acceptance (</w:t>
      </w:r>
      <m:oMath>
        <m:r>
          <w:rPr>
            <w:rFonts w:ascii="Cambria Math" w:hAnsi="Cambria Math"/>
          </w:rPr>
          <m:t>ω</m:t>
        </m:r>
      </m:oMath>
      <w:r>
        <w:t xml:space="preserve"> = 0.75), and Planning (</w:t>
      </w:r>
      <m:oMath>
        <m:r>
          <w:rPr>
            <w:rFonts w:ascii="Cambria Math" w:hAnsi="Cambria Math"/>
          </w:rPr>
          <m:t>ω</m:t>
        </m:r>
      </m:oMath>
      <w:r>
        <w:t xml:space="preserve"> = 0.66). The internal consistency for these dimensions ranged from acceptable to good.</w:t>
      </w:r>
    </w:p>
    <w:p w14:paraId="668D51CA" w14:textId="77777777" w:rsidR="002E473A" w:rsidRDefault="00000000">
      <w:pPr>
        <w:pStyle w:val="BodyText"/>
      </w:pPr>
      <w:r>
        <w:t xml:space="preserve">The Černis Felt Sense of Anomaly scale - short form (CEFSA-14, </w:t>
      </w:r>
      <w:hyperlink w:anchor="ref-vcernis2024measuring">
        <w:r w:rsidR="002E473A">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This scale is designed to measure dissociative experiences in adolescence and adulthood, specifically focusing on the felt sense of anomaly-type dissociation. It includes Anomalous Experience of the Self (</w:t>
      </w:r>
      <m:oMath>
        <m:r>
          <w:rPr>
            <w:rFonts w:ascii="Cambria Math" w:hAnsi="Cambria Math"/>
          </w:rPr>
          <m:t>ω</m:t>
        </m:r>
      </m:oMath>
      <w:r>
        <w:t xml:space="preserve"> = 0.75), Anomalous Experience of the Body (</w:t>
      </w:r>
      <m:oMath>
        <m:r>
          <w:rPr>
            <w:rFonts w:ascii="Cambria Math" w:hAnsi="Cambria Math"/>
          </w:rPr>
          <m:t>ω</m:t>
        </m:r>
      </m:oMath>
      <w:r>
        <w:t xml:space="preserve"> = 0.77), Anomalous Experiences of Emotion (</w:t>
      </w:r>
      <m:oMath>
        <m:r>
          <w:rPr>
            <w:rFonts w:ascii="Cambria Math" w:hAnsi="Cambria Math"/>
          </w:rPr>
          <m:t>ω</m:t>
        </m:r>
      </m:oMath>
      <w:r>
        <w:t xml:space="preserve"> = 0.81), Altered Sense of Familiarity (</w:t>
      </w:r>
      <m:oMath>
        <m:r>
          <w:rPr>
            <w:rFonts w:ascii="Cambria Math" w:hAnsi="Cambria Math"/>
          </w:rPr>
          <m:t>ω</m:t>
        </m:r>
      </m:oMath>
      <w:r>
        <w:t xml:space="preserve"> = 0.72), Altered Sense of Connection (</w:t>
      </w:r>
      <m:oMath>
        <m:r>
          <w:rPr>
            <w:rFonts w:ascii="Cambria Math" w:hAnsi="Cambria Math"/>
          </w:rPr>
          <m:t>ω</m:t>
        </m:r>
      </m:oMath>
      <w:r>
        <w:t xml:space="preserve"> = 0.86), Altered Sense of Agency (</w:t>
      </w:r>
      <m:oMath>
        <m:r>
          <w:rPr>
            <w:rFonts w:ascii="Cambria Math" w:hAnsi="Cambria Math"/>
          </w:rPr>
          <m:t>ω</m:t>
        </m:r>
      </m:oMath>
      <w:r>
        <w:t xml:space="preserve"> = 0.78), and Altered Sense of Reality (</w:t>
      </w:r>
      <m:oMath>
        <m:r>
          <w:rPr>
            <w:rFonts w:ascii="Cambria Math" w:hAnsi="Cambria Math"/>
          </w:rPr>
          <m:t>ω</m:t>
        </m:r>
      </m:oMath>
      <w:r>
        <w:t xml:space="preserve"> = 0.58). The internal consistency of the subscales were mostly good with the exception of Sense of Reality.</w:t>
      </w:r>
    </w:p>
    <w:p w14:paraId="5687B163" w14:textId="77777777" w:rsidR="002E473A" w:rsidRDefault="00000000">
      <w:pPr>
        <w:pStyle w:val="BodyText"/>
      </w:pPr>
      <w:r>
        <w:t xml:space="preserve">The Primal World Beliefs Inventory (PI-18, </w:t>
      </w:r>
      <w:hyperlink w:anchor="ref-clifton2021brief">
        <w:r w:rsidR="002E473A">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In this study, the internal consistency of the subscales were all good: </w:t>
      </w:r>
      <m:oMath>
        <m:r>
          <w:rPr>
            <w:rFonts w:ascii="Cambria Math" w:hAnsi="Cambria Math"/>
          </w:rPr>
          <m:t>ω</m:t>
        </m:r>
      </m:oMath>
      <w:r>
        <w:t xml:space="preserve"> Good = 0.84, </w:t>
      </w:r>
      <m:oMath>
        <m:r>
          <w:rPr>
            <w:rFonts w:ascii="Cambria Math" w:hAnsi="Cambria Math"/>
          </w:rPr>
          <m:t>ω</m:t>
        </m:r>
      </m:oMath>
      <w:r>
        <w:t xml:space="preserve"> Safe = 0.80, </w:t>
      </w:r>
      <m:oMath>
        <m:r>
          <w:rPr>
            <w:rFonts w:ascii="Cambria Math" w:hAnsi="Cambria Math"/>
          </w:rPr>
          <m:t>ω</m:t>
        </m:r>
      </m:oMath>
      <w:r>
        <w:t xml:space="preserve"> Enticing = 0.80 and </w:t>
      </w:r>
      <m:oMath>
        <m:r>
          <w:rPr>
            <w:rFonts w:ascii="Cambria Math" w:hAnsi="Cambria Math"/>
          </w:rPr>
          <m:t>ω</m:t>
        </m:r>
      </m:oMath>
      <w:r>
        <w:t xml:space="preserve"> Alive = 0.84.</w:t>
      </w:r>
    </w:p>
    <w:p w14:paraId="2EACF83C" w14:textId="77777777" w:rsidR="002E473A" w:rsidRDefault="00000000">
      <w:pPr>
        <w:pStyle w:val="Heading4"/>
        <w:rPr>
          <w:vanish/>
          <w:specVanish/>
        </w:rPr>
      </w:pPr>
      <w:r>
        <w:lastRenderedPageBreak/>
        <w:t xml:space="preserve">Health and Wellbeing. </w:t>
      </w:r>
    </w:p>
    <w:p w14:paraId="3CBBE466" w14:textId="77777777" w:rsidR="002E473A" w:rsidRDefault="00000000">
      <w:pPr>
        <w:pStyle w:val="BodyText"/>
      </w:pPr>
      <w:r>
        <w:t xml:space="preserve">The Single Item Life Satisfaction scale (SILS, </w:t>
      </w:r>
      <w:hyperlink w:anchor="ref-jovanovic2020longer">
        <w:r w:rsidR="002E473A">
          <w:rPr>
            <w:rStyle w:val="Hyperlink"/>
          </w:rPr>
          <w:t>Jovanović &amp; Lazić, 2020</w:t>
        </w:r>
      </w:hyperlink>
      <w:r>
        <w:t>) was followed by the PHQ-4 (</w:t>
      </w:r>
      <w:hyperlink w:anchor="ref-kroenke2009ultra">
        <w:r w:rsidR="002E473A">
          <w:rPr>
            <w:rStyle w:val="Hyperlink"/>
          </w:rPr>
          <w:t>Kroenke et al., 2009</w:t>
        </w:r>
      </w:hyperlink>
      <w:r>
        <w:t>) assessing depression and anxiety symptoms with 4 items. We used the refined version of the PHQ-4 (</w:t>
      </w:r>
      <w:hyperlink w:anchor="ref-makowski2025measuring">
        <w:r w:rsidR="002E473A">
          <w:rPr>
            <w:rStyle w:val="Hyperlink"/>
          </w:rPr>
          <w:t>Makowski et al., 2025</w:t>
        </w:r>
      </w:hyperlink>
      <w:r>
        <w:t>), which adds an additional response option (“Once or twice”), increasing sensitivity to subclinical fluctuations. PhQ-Anxiety showed excellent reliability (</w:t>
      </w:r>
      <m:oMath>
        <m:r>
          <w:rPr>
            <w:rFonts w:ascii="Cambria Math" w:hAnsi="Cambria Math"/>
          </w:rPr>
          <m:t>ω</m:t>
        </m:r>
      </m:oMath>
      <w:r>
        <w:t xml:space="preserve"> = 0.91) and PHQ-Depression showed good reliability ( </w:t>
      </w:r>
      <m:oMath>
        <m:r>
          <w:rPr>
            <w:rFonts w:ascii="Cambria Math" w:hAnsi="Cambria Math"/>
          </w:rPr>
          <m:t>ω</m:t>
        </m:r>
      </m:oMath>
      <w:r>
        <w:t xml:space="preserve"> = 0.84).</w:t>
      </w:r>
    </w:p>
    <w:p w14:paraId="0F35E54A" w14:textId="77777777" w:rsidR="002E473A" w:rsidRDefault="00000000">
      <w:pPr>
        <w:pStyle w:val="BodyText"/>
      </w:pPr>
      <w:r>
        <w:t>Participants were asked to self-report any current, medically diagnosed psychiatric disorders using a checklist based on DSM-5 categories. If one or more conditions were endorsed, participants were asked to indicate any current treatments, including pharmacological (e.g., 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21A9FF42" w14:textId="77777777" w:rsidR="002E473A"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w:t>
      </w:r>
      <w:r>
        <w:lastRenderedPageBreak/>
        <w:t xml:space="preserve">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gastroesophageal reflux disease (GERD), multiple sclerosis, and Sjögren’s syndrome. We scored each cluster as a binary variable based on whether the participant selected at least one symptom from that cluster. </w:t>
      </w:r>
    </w:p>
    <w:p w14:paraId="11B2435F" w14:textId="77777777" w:rsidR="002E473A" w:rsidRDefault="00000000">
      <w:pPr>
        <w:pStyle w:val="Heading4"/>
        <w:rPr>
          <w:vanish/>
          <w:specVanish/>
        </w:rPr>
      </w:pPr>
      <w:r>
        <w:t xml:space="preserve">Lifestyle. </w:t>
      </w:r>
    </w:p>
    <w:p w14:paraId="7ECF566B" w14:textId="77777777" w:rsidR="002E473A"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r w:rsidRPr="003562B6">
        <w:rPr>
          <w:b/>
          <w:bCs/>
        </w:rPr>
        <w:t>. Participants were asked to rate how physically active they consider themselves and how many hours of active workout they engage in per week. Participant’s BMI was computed using height and weight.</w:t>
      </w:r>
    </w:p>
    <w:p w14:paraId="73334EF0" w14:textId="77777777" w:rsidR="002E473A" w:rsidRDefault="00000000">
      <w:pPr>
        <w:pStyle w:val="Heading3"/>
      </w:pPr>
      <w:bookmarkStart w:id="16" w:name="procedure-1"/>
      <w:bookmarkEnd w:id="15"/>
      <w:r>
        <w:t>Procedure</w:t>
      </w:r>
    </w:p>
    <w:p w14:paraId="12684800" w14:textId="77777777" w:rsidR="002E473A" w:rsidRDefault="00000000">
      <w:pPr>
        <w:pStyle w:val="FirstParagraph"/>
      </w:pPr>
      <w:r>
        <w:t xml:space="preserve">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w:t>
      </w:r>
      <w:r>
        <w:lastRenderedPageBreak/>
        <w:t xml:space="preserve">demographic questions, participants always started with the Mint scale, and each following interoception questionnaire was interspersed with two questionnaires from the emotions and pathology groups. 7 attention checks were embedded throughout (one within each major questionnaire). 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the highest option” (PI-18); and “I feel that to show I am being attentive I will press the lowest option” (CEFSA-14). To make the </w:t>
      </w:r>
      <w:r>
        <w:lastRenderedPageBreak/>
        <w:t>experiment more enjoyable, the experiment ended with a radar chart summarizing the participants’ responses to the Mint scale</w:t>
      </w:r>
      <w:r>
        <w:rPr>
          <w:rStyle w:val="FootnoteReference"/>
        </w:rPr>
        <w:footnoteReference w:id="2"/>
      </w:r>
      <w:r>
        <w:t xml:space="preserve">. </w:t>
      </w:r>
    </w:p>
    <w:p w14:paraId="459ED063" w14:textId="77777777" w:rsidR="002E473A" w:rsidRDefault="00000000">
      <w:pPr>
        <w:pStyle w:val="Heading3"/>
      </w:pPr>
      <w:bookmarkStart w:id="17" w:name="data-analysis-1"/>
      <w:bookmarkEnd w:id="16"/>
      <w:r>
        <w:t>Data Analysis</w:t>
      </w:r>
    </w:p>
    <w:p w14:paraId="78AD3C21" w14:textId="77777777" w:rsidR="002E473A" w:rsidRDefault="00000000">
      <w:pPr>
        <w:pStyle w:val="FirstParagraph"/>
      </w:pPr>
      <w:r>
        <w:t xml:space="preserve">We started by confirming and further refining the structure of the Mint scale (see </w:t>
      </w:r>
      <w:hyperlink w:anchor="fig-two">
        <w:r w:rsidR="002E473A">
          <w:rPr>
            <w:rStyle w:val="Hyperlink"/>
          </w:rPr>
          <w:t>Figure 2</w:t>
        </w:r>
      </w:hyperlink>
      <w:r>
        <w:t xml:space="preserve">) using the same EGA model as in Study 1. We then computed the lower-level dimensions and the higher-level metaclusters’ scores by averaging their corresponding items. Descriptive statistics were calculated for each cluster, and potential demographic differences were examined using independent-samples t-tests. The </w:t>
      </w:r>
      <w:r>
        <w:rPr>
          <w:b/>
          <w:bCs/>
        </w:rPr>
        <w:t>convergent validity of scores from the final set of items</w:t>
      </w:r>
      <w:r>
        <w:t xml:space="preserve"> was assessed by computing the correlations between the Mint scale and the other interoception questionnaires (MAIA, BPQ, IAS).</w:t>
      </w:r>
    </w:p>
    <w:p w14:paraId="28E8B9D9" w14:textId="77777777" w:rsidR="002E473A" w:rsidRDefault="00000000">
      <w:pPr>
        <w:pStyle w:val="BodyText"/>
      </w:pPr>
      <w:r>
        <w:lastRenderedPageBreak/>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sidR="002E473A">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032E770D" w14:textId="77777777" w:rsidR="002E473A"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2899F08F" w14:textId="77777777" w:rsidR="002E473A" w:rsidRDefault="00000000">
      <w:pPr>
        <w:pStyle w:val="Heading2"/>
      </w:pPr>
      <w:bookmarkStart w:id="18" w:name="results-1"/>
      <w:bookmarkEnd w:id="13"/>
      <w:bookmarkEnd w:id="17"/>
      <w:r>
        <w:t>Results</w:t>
      </w:r>
    </w:p>
    <w:p w14:paraId="34AE78B1" w14:textId="77777777" w:rsidR="002E473A"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with the </w:t>
      </w:r>
      <w:r>
        <w:rPr>
          <w:i/>
          <w:iCs/>
        </w:rPr>
        <w:lastRenderedPageBreak/>
        <w:t>CaCo</w:t>
      </w:r>
      <w:r>
        <w:t xml:space="preserve"> (Cardiorespiratory Confusion) cluster. </w:t>
      </w:r>
      <w:r>
        <w:rPr>
          <w:b/>
          <w:bCs/>
        </w:rPr>
        <w:t>We considered a 45-item scale overly lengthy given the aims of the instrument, and following a further evaluation of item redundancy, conceptual overlap, and face validity (e.g., Sexual Organs Sensitivity items overlapped with Sexual Arousal Awareness items), reduced the pool to 33 items.</w:t>
      </w:r>
    </w:p>
    <w:p w14:paraId="2458E782" w14:textId="77777777" w:rsidR="002E473A" w:rsidRDefault="00000000">
      <w:pPr>
        <w:pStyle w:val="BodyText"/>
      </w:pPr>
      <w:r>
        <w:t xml:space="preserve">The final set of 33 items yielded a good fit (TEFI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sidR="002E473A">
          <w:rPr>
            <w:rStyle w:val="Hyperlink"/>
          </w:rPr>
          <w:t>Figure 7</w:t>
        </w:r>
      </w:hyperlink>
      <w:r>
        <w:t xml:space="preserve"> presents gender differences across these clusters. The largest metacluster-level difference was observed for Interoceptive Awareness, whereas the largest lower-level difference was found for Cardiorespiratory Confusion. Item centrality (interpretable as loadings in traditional factor analysis frameworks) are shown in </w:t>
      </w:r>
      <w:hyperlink w:anchor="fig-three">
        <w:r w:rsidR="002E473A">
          <w:rPr>
            <w:rStyle w:val="Hyperlink"/>
          </w:rPr>
          <w:t>Figure 3</w:t>
        </w:r>
      </w:hyperlink>
      <w:r>
        <w:t xml:space="preserve">. Additionally, we applied hierarchical clustering analysis which replicated this structure (see </w:t>
      </w:r>
      <w:hyperlink w:anchor="fig-two">
        <w:r w:rsidR="002E473A">
          <w:rPr>
            <w:rStyle w:val="Hyperlink"/>
          </w:rPr>
          <w:t>Figure 2</w:t>
        </w:r>
      </w:hyperlink>
      <w:r>
        <w:t>), suggesting consistency across methods.</w:t>
      </w:r>
    </w:p>
    <w:p w14:paraId="01B62B77" w14:textId="77777777" w:rsidR="002E473A" w:rsidRDefault="00000000">
      <w:pPr>
        <w:pStyle w:val="BodyText"/>
      </w:pPr>
      <w:r>
        <w:rPr>
          <w:b/>
          <w:bCs/>
        </w:rPr>
        <w:t>The Interoceptive Awareness metacluster captures self-perceived awareness of specific bodily states. We use “awareness” broadly, meaning general bodily states accessible to self-report, not the accuracy–metacognition correspondence of Garfinkel et al. (</w:t>
      </w:r>
      <w:hyperlink w:anchor="ref-garfinkel2015knowing">
        <w:r w:rsidR="002E473A">
          <w:rPr>
            <w:rStyle w:val="Hyperlink"/>
            <w:b/>
            <w:bCs/>
          </w:rPr>
          <w:t>2015</w:t>
        </w:r>
      </w:hyperlink>
      <w:r>
        <w:rPr>
          <w:b/>
          <w:bCs/>
        </w:rPr>
        <w:t xml:space="preserve">), and its items assess perceived awareness of relaxation (RelA), sexual arousal (SexS), and impending expulsive events (ExAc; e.g., burping, sneezing, or flatulence). The </w:t>
      </w:r>
      <w:r>
        <w:rPr>
          <w:b/>
          <w:bCs/>
        </w:rPr>
        <w:lastRenderedPageBreak/>
        <w:t>Interoceptive Deficit metacluster reflects difficulties, uncertainty, or inaccuracies in recognising internal bodily signals, capturing confusion about cardiorespiratory sensations (CaCo), uncertainty about urinary or gastrointestinal needs (UrIn), delayed recognition of hunger or thirst (Sati), reliance on external cues such as body odours (Olfa), and heightened dermal sensitivity (Derm). Finally, Visceroception captures the self-reported tendency to notice visceral sensations (cf. interoceptive sensibility, Khalsa et al., 2018), specifically cardiac (Card), respiratory (Resp), and gastric (Gast) signals.</w:t>
      </w:r>
    </w:p>
    <w:p w14:paraId="44AE216A" w14:textId="77777777" w:rsidR="002E473A" w:rsidRDefault="00000000">
      <w:pPr>
        <w:pStyle w:val="BodyText"/>
      </w:pPr>
      <w:r>
        <w:t>Lastly, to complement EGA, we conducted factor analysis on the final 33 items using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t>) and explained only 30% of the variance. The next-best nine-factor solution demonstrated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and explained 56.88% of the total variance. This solution comprised eight 3-item factors (Gastroception,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EGA lower-level clusters, with the main difference being that cardiorespiratory items loaded onto a single factor rather than forming separate clusters.</w:t>
      </w:r>
    </w:p>
    <w:p w14:paraId="6744A74A" w14:textId="77777777" w:rsidR="002E473A" w:rsidRDefault="00000000">
      <w:pPr>
        <w:pStyle w:val="Heading4"/>
        <w:rPr>
          <w:vanish/>
          <w:specVanish/>
        </w:rPr>
      </w:pPr>
      <w:r>
        <w:lastRenderedPageBreak/>
        <w:t xml:space="preserve">Mint. </w:t>
      </w:r>
    </w:p>
    <w:p w14:paraId="4FD2B32C" w14:textId="77777777" w:rsidR="002E473A" w:rsidRDefault="00000000">
      <w:pPr>
        <w:pStyle w:val="BodyText"/>
      </w:pPr>
      <w:r>
        <w:t xml:space="preserve">The correlation matrix of the Mint dimensions revealed an interesting and rich tapestry of relationships (see </w:t>
      </w:r>
      <w:hyperlink w:anchor="fig-four">
        <w:r w:rsidR="002E473A">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61309166" w14:textId="77777777" w:rsidR="002E473A" w:rsidRDefault="00000000">
      <w:pPr>
        <w:pStyle w:val="Heading4"/>
        <w:rPr>
          <w:vanish/>
          <w:specVanish/>
        </w:rPr>
      </w:pPr>
      <w:r>
        <w:lastRenderedPageBreak/>
        <w:t xml:space="preserve">Interoception Questionnaires. </w:t>
      </w:r>
    </w:p>
    <w:p w14:paraId="1F46DDE8" w14:textId="77777777" w:rsidR="002E473A" w:rsidRDefault="00000000">
      <w:pPr>
        <w:pStyle w:val="BodyText"/>
      </w:pPr>
      <w:r>
        <w:t xml:space="preserve">The correlation matrix between the Mint and the other interoception scales revealed high levels of overlap, as well as some unique contributions (see </w:t>
      </w:r>
      <w:hyperlink w:anchor="fig-four">
        <w:r w:rsidR="002E473A">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7CBBDDAD" w14:textId="77777777" w:rsidR="002E473A" w:rsidRDefault="00000000">
      <w:pPr>
        <w:pStyle w:val="Heading4"/>
        <w:rPr>
          <w:vanish/>
          <w:specVanish/>
        </w:rPr>
      </w:pPr>
      <w:r>
        <w:lastRenderedPageBreak/>
        <w:t xml:space="preserve">Emotions and Cognition. </w:t>
      </w:r>
    </w:p>
    <w:p w14:paraId="4E34323A" w14:textId="77777777" w:rsidR="002E473A" w:rsidRDefault="00000000">
      <w:pPr>
        <w:pStyle w:val="BodyText"/>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MAIA’s interoceptive dimension was the belief that the world was alive (i.e., the belief that the universe is conscious, purposeful, and in active relationship with oneself, </w:t>
      </w:r>
      <w:hyperlink w:anchor="ref-clifton2021brief">
        <w:r w:rsidR="002E473A">
          <w:rPr>
            <w:rStyle w:val="Hyperlink"/>
          </w:rPr>
          <w:t>Clifton &amp; Yaden, 2021</w:t>
        </w:r>
      </w:hyperlink>
      <w:r>
        <w:t>).</w:t>
      </w:r>
    </w:p>
    <w:p w14:paraId="4377C8FD" w14:textId="77777777" w:rsidR="002E473A" w:rsidRDefault="00000000">
      <w:pPr>
        <w:pStyle w:val="BodyText"/>
      </w:pPr>
      <w:r>
        <w:t xml:space="preserve">Most of the target outcomes measured in the study to assess validity were best predicted by one of the Mint dimension (see </w:t>
      </w:r>
      <w:hyperlink w:anchor="fig-five">
        <w:r w:rsidR="002E473A">
          <w:rPr>
            <w:rStyle w:val="Hyperlink"/>
          </w:rPr>
          <w:t>Figure 5</w:t>
        </w:r>
      </w:hyperlink>
      <w:r>
        <w:t xml:space="preserve">). For example, </w:t>
      </w:r>
      <w:r>
        <w:rPr>
          <w:i/>
          <w:iCs/>
        </w:rPr>
        <w:t>Deficit</w:t>
      </w:r>
      <w: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Remaining model fits can be reviewed in the data analysis folder project’s GitHub repository. Model comparison included the full </w:t>
      </w:r>
      <w:r>
        <w:rPr>
          <w:i/>
          <w:iCs/>
        </w:rPr>
        <w:t>Mint</w:t>
      </w:r>
      <w:r>
        <w:t xml:space="preserve"> (including all lower-level clusters - 33 items), and the analysis confirmed the clear advantage for the Mint over the other interoception scales. The full </w:t>
      </w:r>
      <w:r>
        <w:rPr>
          <w:i/>
          <w:iCs/>
        </w:rPr>
        <w:t>Mint</w:t>
      </w:r>
      <w:r>
        <w:t xml:space="preserve"> model was typically the best model based on R2. Moreover, most of the instances where the </w:t>
      </w:r>
      <w:r>
        <w:rPr>
          <w:i/>
          <w:iCs/>
        </w:rPr>
        <w:t>MAIA</w:t>
      </w:r>
      <w:r>
        <w:t xml:space="preserve"> was the best model </w:t>
      </w:r>
      <w:r>
        <w:lastRenderedPageBreak/>
        <w:t xml:space="preserve">were explainable by the inclusion of Trusting, and the interoception-only version </w:t>
      </w:r>
      <w:r>
        <w:rPr>
          <w:i/>
          <w:iCs/>
        </w:rPr>
        <w:t>iMAIA</w:t>
      </w:r>
      <w:r>
        <w:t xml:space="preserve"> typically yielded worse performance than the Mint.</w:t>
      </w:r>
    </w:p>
    <w:p w14:paraId="65667DA8" w14:textId="77777777" w:rsidR="002E473A" w:rsidRDefault="00000000">
      <w:pPr>
        <w:pStyle w:val="Heading4"/>
        <w:rPr>
          <w:vanish/>
          <w:specVanish/>
        </w:rPr>
      </w:pPr>
      <w:r>
        <w:t xml:space="preserve">Health, Wellbeing and Lifestyle. </w:t>
      </w:r>
    </w:p>
    <w:p w14:paraId="27EF7784" w14:textId="77777777" w:rsidR="002E473A" w:rsidRDefault="00000000">
      <w:pPr>
        <w:pStyle w:val="BodyText"/>
      </w:pPr>
      <w:r>
        <w:t xml:space="preserve">The predictive performance for the mental health outcomes (see </w:t>
      </w:r>
      <w:hyperlink w:anchor="fig-six">
        <w:r w:rsidR="002E473A">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t>
      </w:r>
      <w:r>
        <w:rPr>
          <w:b/>
          <w:bCs/>
        </w:rPr>
        <w:t xml:space="preserve">where the </w:t>
      </w:r>
      <w:r>
        <w:rPr>
          <w:b/>
          <w:bCs/>
          <w:i/>
          <w:iCs/>
        </w:rPr>
        <w:t>Mint</w:t>
      </w:r>
      <w:r>
        <w:rPr>
          <w:b/>
          <w:bCs/>
        </w:rPr>
        <w:t xml:space="preserve"> and </w:t>
      </w:r>
      <w:r>
        <w:rPr>
          <w:b/>
          <w:bCs/>
          <w:i/>
          <w:iCs/>
        </w:rPr>
        <w:t>MAIA</w:t>
      </w:r>
      <w:r>
        <w:rPr>
          <w:b/>
          <w:bCs/>
        </w:rPr>
        <w:t xml:space="preserve"> performed equivalently when accounting for uncertainty in the estimates).</w:t>
      </w:r>
    </w:p>
    <w:p w14:paraId="28C8C27E" w14:textId="77777777" w:rsidR="002E473A"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38DA36D0" w14:textId="77777777" w:rsidR="002E473A" w:rsidRDefault="00000000">
      <w:pPr>
        <w:pStyle w:val="Heading2"/>
      </w:pPr>
      <w:bookmarkStart w:id="19" w:name="discussion-1"/>
      <w:bookmarkEnd w:id="18"/>
      <w:r>
        <w:t>Discussion</w:t>
      </w:r>
    </w:p>
    <w:p w14:paraId="267597A4" w14:textId="77777777" w:rsidR="002E473A" w:rsidRDefault="00000000">
      <w:pPr>
        <w:pStyle w:val="FirstParagraph"/>
      </w:pPr>
      <w:r>
        <w:rPr>
          <w:b/>
          <w:bCs/>
        </w:rPr>
        <w:t>Study 2 sought to formally evaluate the convergent and criterion validity of the Mint in a large, independent sample. The analysis confirmed a final and stable 33-item version with 11 lower-level clusters grouped into three metaclusters (</w:t>
      </w:r>
      <w:r>
        <w:rPr>
          <w:b/>
          <w:bCs/>
          <w:i/>
          <w:iCs/>
        </w:rPr>
        <w:t>Interoceptive Deficit</w:t>
      </w:r>
      <w:r>
        <w:rPr>
          <w:b/>
          <w:bCs/>
        </w:rPr>
        <w:t xml:space="preserve">, </w:t>
      </w:r>
      <w:r>
        <w:rPr>
          <w:b/>
          <w:bCs/>
          <w:i/>
          <w:iCs/>
        </w:rPr>
        <w:t>Interoceptive Awareness</w:t>
      </w:r>
      <w:r>
        <w:rPr>
          <w:b/>
          <w:bCs/>
        </w:rPr>
        <w:t xml:space="preserve">, </w:t>
      </w:r>
      <w:r>
        <w:rPr>
          <w:b/>
          <w:bCs/>
          <w:i/>
          <w:iCs/>
        </w:rPr>
        <w:t>Visceroception</w:t>
      </w:r>
      <w:r>
        <w:rPr>
          <w:b/>
          <w:bCs/>
        </w:rPr>
        <w:t xml:space="preserve">). Structure re-validation is an important step following item reduction, as removing items can alter the perceived meaning and relationships among those that remain. The mostly successful replication across an independent sample is therefore an encouraging indicator of structural robustness. The </w:t>
      </w:r>
      <w:r>
        <w:rPr>
          <w:b/>
          <w:bCs/>
        </w:rPr>
        <w:lastRenderedPageBreak/>
        <w:t xml:space="preserve">exception was the </w:t>
      </w:r>
      <w:r>
        <w:rPr>
          <w:b/>
          <w:bCs/>
          <w:i/>
          <w:iCs/>
        </w:rPr>
        <w:t>Olfa</w:t>
      </w:r>
      <w:r>
        <w:rPr>
          <w:b/>
          <w:bCs/>
        </w:rPr>
        <w:t xml:space="preserve"> (Olfactory Contribution) cluster, which showed lower stability within the </w:t>
      </w:r>
      <w:r>
        <w:rPr>
          <w:b/>
          <w:bCs/>
          <w:i/>
          <w:iCs/>
        </w:rPr>
        <w:t>Deficit</w:t>
      </w:r>
      <w:r>
        <w:rPr>
          <w:b/>
          <w:bCs/>
        </w:rPr>
        <w:t xml:space="preserve"> metacluster, suggesting a more nuanced role. For instance, this cluster could be related to adaptive compensatory processes in some participants and maladaptive strategies in others. Future studies should further investigate its place and invariance across different populations and contexts.</w:t>
      </w:r>
    </w:p>
    <w:p w14:paraId="08472C66" w14:textId="77777777" w:rsidR="002E473A" w:rsidRDefault="00000000">
      <w:pPr>
        <w:pStyle w:val="BodyText"/>
      </w:pPr>
      <w:r>
        <w:rPr>
          <w:b/>
          <w:bCs/>
        </w:rPr>
        <w:t xml:space="preserve">The criterion validity analysis revealed a consistent advantage for the Mint, particularly its </w:t>
      </w:r>
      <w:r>
        <w:rPr>
          <w:b/>
          <w:bCs/>
          <w:i/>
          <w:iCs/>
        </w:rPr>
        <w:t>Deficit</w:t>
      </w:r>
      <w:r>
        <w:rPr>
          <w:b/>
          <w:bCs/>
        </w:rPr>
        <w:t xml:space="preserve"> metacluster, in predicting outcomes tied to altered bodily experience, including alexithymia, dissociative experiences, ADHD, autism, and somatic symptoms. The MAIA-2 outperformed the Mint for general well-being outcomes (e.g., life satisfaction, depression, anxiety); however, this advantage was almost entirely attributable to its </w:t>
      </w:r>
      <w:r>
        <w:rPr>
          <w:b/>
          <w:bCs/>
          <w:i/>
          <w:iCs/>
        </w:rPr>
        <w:t>Trusting</w:t>
      </w:r>
      <w:r>
        <w:rPr>
          <w:b/>
          <w:bCs/>
        </w:rPr>
        <w:t xml:space="preserve"> and </w:t>
      </w:r>
      <w:r>
        <w:rPr>
          <w:b/>
          <w:bCs/>
          <w:i/>
          <w:iCs/>
        </w:rPr>
        <w:t>Not-Worrying</w:t>
      </w:r>
      <w:r>
        <w:rPr>
          <w:b/>
          <w:bCs/>
        </w:rPr>
        <w:t xml:space="preserve"> subscales, which are dimensions more aligned with emotion regulation than interoceptive processing (</w:t>
      </w:r>
      <w:hyperlink w:anchor="ref-ferentzi2021examining">
        <w:r w:rsidR="002E473A">
          <w:rPr>
            <w:rStyle w:val="Hyperlink"/>
            <w:b/>
            <w:bCs/>
          </w:rPr>
          <w:t>Ferentzi et al., 2021</w:t>
        </w:r>
      </w:hyperlink>
      <w:r>
        <w:rPr>
          <w:b/>
          <w:bCs/>
        </w:rPr>
        <w:t>). When these were excluded (in the iMAIA variant), the MAIA-2’s predictive advantage largely disappeared, underscoring that its superiority for well-being reflects coping-related variance rather than interoceptive specificity.</w:t>
      </w:r>
    </w:p>
    <w:p w14:paraId="2D7EF2EA" w14:textId="77777777" w:rsidR="002E473A" w:rsidRDefault="00000000">
      <w:pPr>
        <w:pStyle w:val="Heading1"/>
      </w:pPr>
      <w:bookmarkStart w:id="20" w:name="general-discussion"/>
      <w:bookmarkEnd w:id="12"/>
      <w:bookmarkEnd w:id="19"/>
      <w:r>
        <w:t>General Discussion</w:t>
      </w:r>
    </w:p>
    <w:p w14:paraId="7A39B4C6" w14:textId="77777777" w:rsidR="002E473A" w:rsidRDefault="00000000">
      <w:pPr>
        <w:pStyle w:val="FirstParagraph"/>
      </w:pPr>
      <w:r>
        <w:t xml:space="preserve">Across two studies, we developed and assessed the convergent and criterion validity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w:t>
      </w:r>
      <w:r>
        <w:rPr>
          <w:b/>
          <w:bCs/>
        </w:rPr>
        <w:t>Mint scores are psychometrically robust</w:t>
      </w:r>
      <w:r>
        <w:t xml:space="preserve">, reflecting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lastRenderedPageBreak/>
        <w:t>demonstrated that the Mint not only captures variance present in other popular scales (MAIA-2, BPQ and IAS) but also offers superior predictive power for a range of clinical and cognitive outcomes, particularly those tied to altered bodily perception.</w:t>
      </w:r>
    </w:p>
    <w:p w14:paraId="12D911DC" w14:textId="77777777" w:rsidR="002E473A" w:rsidRDefault="00000000">
      <w:pPr>
        <w:pStyle w:val="BodyText"/>
      </w:pPr>
      <w:r>
        <w:t>A key advantage of the Mint is its potential ability to disentangle core interoceptive experiences from more general emotion regulation abilities, an identified problem in interoception research where findings may be misattributed to “interoception” when they are driven by emotion regulation capacities (</w:t>
      </w:r>
      <w:hyperlink w:anchor="ref-murphy2020testing">
        <w:r w:rsidR="002E473A">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In particular, the multidimensional structure of the Mint may allow future work to identify distinct interoceptive profiles, rather than assuming that individuals vary along a single continuum of interoceptive ability.</w:t>
      </w:r>
    </w:p>
    <w:p w14:paraId="2C8ED733" w14:textId="77777777" w:rsidR="002E473A" w:rsidRDefault="00000000">
      <w:pPr>
        <w:pStyle w:val="BodyText"/>
      </w:pPr>
      <w:r>
        <w:t xml:space="preserve">We note several limitations that could serve as the impetus for future research efforts. Firstly,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w:t>
      </w:r>
      <w:r>
        <w:rPr>
          <w:b/>
          <w:bCs/>
        </w:rPr>
        <w:t xml:space="preserve">Secondly, preliminary analyses of abbreviated Mint </w:t>
      </w:r>
      <w:r>
        <w:rPr>
          <w:b/>
          <w:bCs/>
        </w:rPr>
        <w:lastRenderedPageBreak/>
        <w:t>versions (available at [MASKED]) suggest a reasonable brevity–performance trade-off, though formal validation in independent and clinical samples is needed.</w:t>
      </w:r>
      <w:r>
        <w:t xml:space="preserve"> Thirdly, although the final version of the MINT provides broader coverage of interoceptive domains than many existing alternatives, it remains non-exhaustive. In particular, several content areas were not retained, including sexual arousal awareness and related physiological changes ((e.g., cardiac changes), interoceptive signalling (e.g., during personally significant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7EE294CB" w14:textId="77777777" w:rsidR="002E473A" w:rsidRDefault="00000000">
      <w:pPr>
        <w:pStyle w:val="BodyText"/>
      </w:pPr>
      <w: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sidR="002E473A">
          <w:rPr>
            <w:rStyle w:val="Hyperlink"/>
          </w:rPr>
          <w:t>Ma-Kellams et al., 2024</w:t>
        </w:r>
      </w:hyperlink>
      <w:r>
        <w:t>). For example, the Japanese validation of the MAIA-2 (</w:t>
      </w:r>
      <w:hyperlink w:anchor="ref-shoji2018investigating">
        <w:r w:rsidR="002E473A">
          <w:rPr>
            <w:rStyle w:val="Hyperlink"/>
          </w:rPr>
          <w:t>Shoji et al., 2018</w:t>
        </w:r>
      </w:hyperlink>
      <w: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sidR="002E473A">
          <w:rPr>
            <w:rStyle w:val="Hyperlink"/>
          </w:rPr>
          <w:t>Freedman et al., 2021</w:t>
        </w:r>
      </w:hyperlink>
      <w: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sidR="002E473A">
          <w:rPr>
            <w:rStyle w:val="Hyperlink"/>
          </w:rPr>
          <w:t>Lin et al., 2023</w:t>
        </w:r>
      </w:hyperlink>
      <w:r>
        <w:t>) IAS validation. Future research should therefore formally test measurement invariance across culturally diverse samples to determine whether the identified clusters are structurally stable or culturally contingent.</w:t>
      </w:r>
    </w:p>
    <w:p w14:paraId="557324B5" w14:textId="77777777" w:rsidR="002E473A"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sidR="002E473A">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sidR="002E473A">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3D54226C" w14:textId="77777777" w:rsidR="002E473A" w:rsidRDefault="00000000">
      <w:pPr>
        <w:pStyle w:val="BodyText"/>
      </w:pPr>
      <w:r>
        <w:t xml:space="preserve">In conclusion, the Mint scale represents a fresh take on interoception questionnaires and a significant methodological advancement for the field of interoception research. By providing a </w:t>
      </w:r>
      <w:r>
        <w:rPr>
          <w:b/>
          <w:bCs/>
        </w:rPr>
        <w:t>structurally coherent, nuanced measure whose scores demonstrate strong convergent and criterion validity</w:t>
      </w:r>
      <w:r>
        <w:t>, it allows for a more precise assessment of self-reported interoceptive experiences, paving the way for a deeper understanding of the multifaceted role of interoception in human psychology and pathophysiology.</w:t>
      </w:r>
    </w:p>
    <w:p w14:paraId="5FB96DF0" w14:textId="77777777" w:rsidR="002E473A" w:rsidRDefault="00000000">
      <w:pPr>
        <w:pStyle w:val="Heading1"/>
      </w:pPr>
      <w:bookmarkStart w:id="21" w:name="data-availability"/>
      <w:bookmarkEnd w:id="20"/>
      <w:r>
        <w:t>Data Availability</w:t>
      </w:r>
    </w:p>
    <w:p w14:paraId="67BB6ED2" w14:textId="77777777" w:rsidR="002E473A" w:rsidRDefault="00000000">
      <w:pPr>
        <w:pStyle w:val="FirstParagraph"/>
      </w:pPr>
      <w:r>
        <w:t xml:space="preserve">Data, code, and all materials are available at </w:t>
      </w:r>
      <w:r>
        <w:rPr>
          <w:i/>
          <w:iCs/>
        </w:rPr>
        <w:t>[MASKED FOR REVIEW]</w:t>
      </w:r>
      <w:r>
        <w:t xml:space="preserve">. </w:t>
      </w:r>
    </w:p>
    <w:p w14:paraId="1C9757F1" w14:textId="77777777" w:rsidR="002E473A" w:rsidRDefault="00000000">
      <w:pPr>
        <w:pStyle w:val="Heading1"/>
      </w:pPr>
      <w:bookmarkStart w:id="22" w:name="references"/>
      <w:bookmarkEnd w:id="21"/>
      <w:r>
        <w:lastRenderedPageBreak/>
        <w:t>References</w:t>
      </w:r>
    </w:p>
    <w:p w14:paraId="7515705F" w14:textId="77777777" w:rsidR="002E473A" w:rsidRDefault="00000000">
      <w:pPr>
        <w:pStyle w:val="Bibliography"/>
      </w:pPr>
      <w:bookmarkStart w:id="23" w:name="ref-bogaerts2022interoceptive"/>
      <w:bookmarkStart w:id="24"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5284D2B7" w14:textId="77777777" w:rsidR="002E473A" w:rsidRDefault="00000000">
      <w:pPr>
        <w:pStyle w:val="Bibliography"/>
      </w:pPr>
      <w:bookmarkStart w:id="25" w:name="ref-Brewer2016"/>
      <w:bookmarkEnd w:id="23"/>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sidR="002E473A">
          <w:rPr>
            <w:rStyle w:val="Hyperlink"/>
          </w:rPr>
          <w:t>https://doi.org/10.1098/rsos.150664</w:t>
        </w:r>
      </w:hyperlink>
    </w:p>
    <w:p w14:paraId="4C948707" w14:textId="77777777" w:rsidR="002E473A" w:rsidRDefault="00000000">
      <w:pPr>
        <w:pStyle w:val="Bibliography"/>
      </w:pPr>
      <w:bookmarkStart w:id="26" w:name="ref-cabrera2018assessing"/>
      <w:bookmarkEnd w:id="25"/>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790CFB7F" w14:textId="77777777" w:rsidR="002E473A" w:rsidRDefault="00000000">
      <w:pPr>
        <w:pStyle w:val="Bibliography"/>
      </w:pPr>
      <w:bookmarkStart w:id="27" w:name="ref-vcernis2024measuring"/>
      <w:bookmarkEnd w:id="26"/>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02191CD2" w14:textId="77777777" w:rsidR="002E473A" w:rsidRDefault="00000000">
      <w:pPr>
        <w:pStyle w:val="Bibliography"/>
      </w:pPr>
      <w:bookmarkStart w:id="28" w:name="ref-christensen2023unique"/>
      <w:bookmarkEnd w:id="27"/>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18734423" w14:textId="77777777" w:rsidR="002E473A" w:rsidRDefault="00000000">
      <w:pPr>
        <w:pStyle w:val="Bibliography"/>
      </w:pPr>
      <w:bookmarkStart w:id="29" w:name="ref-christensen2021estimating"/>
      <w:bookmarkEnd w:id="28"/>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1909ADC3" w14:textId="77777777" w:rsidR="002E473A" w:rsidRDefault="00000000">
      <w:pPr>
        <w:pStyle w:val="Bibliography"/>
      </w:pPr>
      <w:bookmarkStart w:id="30" w:name="ref-christensen2021equivalency"/>
      <w:bookmarkEnd w:id="29"/>
      <w:r>
        <w:t xml:space="preserve">Christensen, A. P., &amp; Golino, H. (2021b). On the equivalency of factor and network loadings. </w:t>
      </w:r>
      <w:r>
        <w:rPr>
          <w:i/>
          <w:iCs/>
        </w:rPr>
        <w:t>Behavior Research Methods</w:t>
      </w:r>
      <w:r>
        <w:t xml:space="preserve">, </w:t>
      </w:r>
      <w:r>
        <w:rPr>
          <w:i/>
          <w:iCs/>
        </w:rPr>
        <w:t>53</w:t>
      </w:r>
      <w:r>
        <w:t>(4), 1563–1580.</w:t>
      </w:r>
    </w:p>
    <w:p w14:paraId="235BE16A" w14:textId="77777777" w:rsidR="002E473A" w:rsidRDefault="00000000">
      <w:pPr>
        <w:pStyle w:val="Bibliography"/>
      </w:pPr>
      <w:bookmarkStart w:id="31" w:name="ref-christensen2020psychometric"/>
      <w:bookmarkEnd w:id="30"/>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16E3759A" w14:textId="77777777" w:rsidR="002E473A" w:rsidRDefault="00000000">
      <w:pPr>
        <w:pStyle w:val="Bibliography"/>
      </w:pPr>
      <w:bookmarkStart w:id="32" w:name="ref-clifton2021brief"/>
      <w:bookmarkEnd w:id="31"/>
      <w:r>
        <w:t xml:space="preserve">Clifton, J. D., &amp; Yaden, D. B. (2021). Brief measures of the four highest-order primal world beliefs. </w:t>
      </w:r>
      <w:r>
        <w:rPr>
          <w:i/>
          <w:iCs/>
        </w:rPr>
        <w:t>Psychological Assessment</w:t>
      </w:r>
      <w:r>
        <w:t xml:space="preserve">, </w:t>
      </w:r>
      <w:r>
        <w:rPr>
          <w:i/>
          <w:iCs/>
        </w:rPr>
        <w:t>33</w:t>
      </w:r>
      <w:r>
        <w:t>(12), 1267.</w:t>
      </w:r>
    </w:p>
    <w:p w14:paraId="2F236379" w14:textId="77777777" w:rsidR="002E473A" w:rsidRDefault="00000000">
      <w:pPr>
        <w:pStyle w:val="Bibliography"/>
      </w:pPr>
      <w:bookmarkStart w:id="33" w:name="ref-craig2002how"/>
      <w:bookmarkEnd w:id="32"/>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sidR="002E473A">
          <w:rPr>
            <w:rStyle w:val="Hyperlink"/>
          </w:rPr>
          <w:t>https://doi.org/10.1038/nrn894</w:t>
        </w:r>
      </w:hyperlink>
    </w:p>
    <w:p w14:paraId="7BABDA37" w14:textId="77777777" w:rsidR="002E473A" w:rsidRDefault="00000000">
      <w:pPr>
        <w:pStyle w:val="Bibliography"/>
      </w:pPr>
      <w:bookmarkStart w:id="34" w:name="ref-craig2003interoception"/>
      <w:bookmarkEnd w:id="33"/>
      <w:r>
        <w:t xml:space="preserve">Craig, A. D. (2003). Interoception: The sense of the physiological condition of the body. </w:t>
      </w:r>
      <w:r>
        <w:rPr>
          <w:i/>
          <w:iCs/>
        </w:rPr>
        <w:t>Current Opinion in Neurobiology</w:t>
      </w:r>
      <w:r>
        <w:t xml:space="preserve">, </w:t>
      </w:r>
      <w:r>
        <w:rPr>
          <w:i/>
          <w:iCs/>
        </w:rPr>
        <w:t>13</w:t>
      </w:r>
      <w:r>
        <w:t>(4), 500–505.</w:t>
      </w:r>
    </w:p>
    <w:p w14:paraId="0ADF7834" w14:textId="77777777" w:rsidR="002E473A" w:rsidRDefault="00000000">
      <w:pPr>
        <w:pStyle w:val="Bibliography"/>
      </w:pPr>
      <w:bookmarkStart w:id="35" w:name="ref-critchley2017interoception"/>
      <w:bookmarkEnd w:id="34"/>
      <w:r>
        <w:t xml:space="preserve">Critchley, H. D., &amp; Garfinkel, S. N. (2017). Interoception and emotion. </w:t>
      </w:r>
      <w:r>
        <w:rPr>
          <w:i/>
          <w:iCs/>
        </w:rPr>
        <w:t>Current Opinion in Psychology</w:t>
      </w:r>
      <w:r>
        <w:t xml:space="preserve">, </w:t>
      </w:r>
      <w:r>
        <w:rPr>
          <w:i/>
          <w:iCs/>
        </w:rPr>
        <w:t>17</w:t>
      </w:r>
      <w:r>
        <w:t xml:space="preserve">, 7–14. </w:t>
      </w:r>
      <w:hyperlink r:id="rId9">
        <w:r w:rsidR="002E473A">
          <w:rPr>
            <w:rStyle w:val="Hyperlink"/>
          </w:rPr>
          <w:t>https://doi.org/10.1016/j.copsyc.2017.04.020</w:t>
        </w:r>
      </w:hyperlink>
    </w:p>
    <w:p w14:paraId="3A131F0F" w14:textId="77777777" w:rsidR="002E473A" w:rsidRDefault="00000000">
      <w:pPr>
        <w:pStyle w:val="Bibliography"/>
      </w:pPr>
      <w:bookmarkStart w:id="36" w:name="ref-crucianelli2023role"/>
      <w:bookmarkEnd w:id="35"/>
      <w:r>
        <w:t xml:space="preserve">Crucianelli, L., &amp; Ehrsson, H. H. (2023). The role of the skin in interoception: A neglected organ? </w:t>
      </w:r>
      <w:r>
        <w:rPr>
          <w:i/>
          <w:iCs/>
        </w:rPr>
        <w:t>Perspectives on Psychological Science</w:t>
      </w:r>
      <w:r>
        <w:t xml:space="preserve">, </w:t>
      </w:r>
      <w:r>
        <w:rPr>
          <w:i/>
          <w:iCs/>
        </w:rPr>
        <w:t>18</w:t>
      </w:r>
      <w:r>
        <w:t>(1), 224–238.</w:t>
      </w:r>
    </w:p>
    <w:p w14:paraId="0A9B56D2" w14:textId="77777777" w:rsidR="002E473A" w:rsidRDefault="00000000">
      <w:pPr>
        <w:pStyle w:val="Bibliography"/>
      </w:pPr>
      <w:bookmarkStart w:id="37" w:name="ref-de2015jspsych"/>
      <w:bookmarkEnd w:id="36"/>
      <w:r>
        <w:t xml:space="preserve">De Leeuw, J. R. (2015). jsPsych: A JavaScript library for creating behavioral experiments in a web browser. </w:t>
      </w:r>
      <w:r>
        <w:rPr>
          <w:i/>
          <w:iCs/>
        </w:rPr>
        <w:t>Behavior Research Methods</w:t>
      </w:r>
      <w:r>
        <w:t xml:space="preserve">, </w:t>
      </w:r>
      <w:r>
        <w:rPr>
          <w:i/>
          <w:iCs/>
        </w:rPr>
        <w:t>47</w:t>
      </w:r>
      <w:r>
        <w:t>, 1–12.</w:t>
      </w:r>
    </w:p>
    <w:p w14:paraId="045E7E00" w14:textId="77777777" w:rsidR="002E473A" w:rsidRDefault="00000000">
      <w:pPr>
        <w:pStyle w:val="Bibliography"/>
      </w:pPr>
      <w:bookmarkStart w:id="38" w:name="ref-desmedt2022measures"/>
      <w:bookmarkEnd w:id="37"/>
      <w:r>
        <w:t xml:space="preserve">Desmedt, O., Heeren, A., Corneille, O., &amp; Luminet, O. (2022). What do measures of self-report interoception measure? Insights from a systematic review, latent factor analysis, and network approach. </w:t>
      </w:r>
      <w:r>
        <w:rPr>
          <w:i/>
          <w:iCs/>
        </w:rPr>
        <w:t>Biological Psychology</w:t>
      </w:r>
      <w:r>
        <w:t xml:space="preserve">, </w:t>
      </w:r>
      <w:r>
        <w:rPr>
          <w:i/>
          <w:iCs/>
        </w:rPr>
        <w:t>169</w:t>
      </w:r>
      <w:r>
        <w:t>, 108289.</w:t>
      </w:r>
    </w:p>
    <w:p w14:paraId="381472F5" w14:textId="77777777" w:rsidR="002E473A" w:rsidRDefault="00000000">
      <w:pPr>
        <w:pStyle w:val="Bibliography"/>
      </w:pPr>
      <w:bookmarkStart w:id="39" w:name="ref-desmedt2025discrepancies"/>
      <w:bookmarkEnd w:id="38"/>
      <w:r>
        <w:t xml:space="preserve">Desmedt, O., Luminet, O., Maurage, P., &amp; Corneille, O. (2025). 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038AFA3F" w14:textId="77777777" w:rsidR="002E473A" w:rsidRDefault="00000000">
      <w:pPr>
        <w:pStyle w:val="Bibliography"/>
      </w:pPr>
      <w:bookmarkStart w:id="40" w:name="ref-di2016alexithymia"/>
      <w:bookmarkEnd w:id="39"/>
      <w:r>
        <w:t xml:space="preserve">Di Tella, M., &amp; Castelli, L. (2016). Alexithymia in chronic pain disorders. </w:t>
      </w:r>
      <w:r>
        <w:rPr>
          <w:i/>
          <w:iCs/>
        </w:rPr>
        <w:t>Current Rheumatology Reports</w:t>
      </w:r>
      <w:r>
        <w:t xml:space="preserve">, </w:t>
      </w:r>
      <w:r>
        <w:rPr>
          <w:i/>
          <w:iCs/>
        </w:rPr>
        <w:t>18</w:t>
      </w:r>
      <w:r>
        <w:t>(7), 41.</w:t>
      </w:r>
    </w:p>
    <w:p w14:paraId="05AF032E" w14:textId="77777777" w:rsidR="002E473A" w:rsidRDefault="00000000">
      <w:pPr>
        <w:pStyle w:val="Bibliography"/>
      </w:pPr>
      <w:bookmarkStart w:id="41" w:name="ref-epskamp2018network"/>
      <w:bookmarkEnd w:id="40"/>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2619A958" w14:textId="77777777" w:rsidR="002E473A" w:rsidRDefault="00000000">
      <w:pPr>
        <w:pStyle w:val="Bibliography"/>
      </w:pPr>
      <w:bookmarkStart w:id="42" w:name="ref-ferentzi2021examining"/>
      <w:bookmarkEnd w:id="41"/>
      <w:r>
        <w:t xml:space="preserve">Ferentzi, E., Olaru, G., Geiger, M., Vig, L., Köteles, F., &amp; Wilhelm, O. (2021). Examining the factor structure and validity of the multidimensional assessment of interoceptive awareness. </w:t>
      </w:r>
      <w:r>
        <w:rPr>
          <w:i/>
          <w:iCs/>
        </w:rPr>
        <w:t>Journal of Personality Assessment</w:t>
      </w:r>
      <w:r>
        <w:t xml:space="preserve">, </w:t>
      </w:r>
      <w:r>
        <w:rPr>
          <w:i/>
          <w:iCs/>
        </w:rPr>
        <w:t>103</w:t>
      </w:r>
      <w:r>
        <w:t>(5), 675–684.</w:t>
      </w:r>
    </w:p>
    <w:p w14:paraId="41826032" w14:textId="77777777" w:rsidR="002E473A" w:rsidRDefault="00000000">
      <w:pPr>
        <w:pStyle w:val="Bibliography"/>
      </w:pPr>
      <w:bookmarkStart w:id="43" w:name="ref-freedman2021similarities"/>
      <w:bookmarkEnd w:id="42"/>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41B14617" w14:textId="77777777" w:rsidR="002E473A" w:rsidRDefault="00000000">
      <w:pPr>
        <w:pStyle w:val="Bibliography"/>
      </w:pPr>
      <w:bookmarkStart w:id="44" w:name="ref-friedman2008sparse"/>
      <w:bookmarkEnd w:id="43"/>
      <w:r>
        <w:t xml:space="preserve">Friedman, J., Hastie, T., &amp; Tibshirani, R. (2008). Sparse inverse covariance estimation with the graphical lasso. </w:t>
      </w:r>
      <w:r>
        <w:rPr>
          <w:i/>
          <w:iCs/>
        </w:rPr>
        <w:t>Biostatistics</w:t>
      </w:r>
      <w:r>
        <w:t xml:space="preserve">, </w:t>
      </w:r>
      <w:r>
        <w:rPr>
          <w:i/>
          <w:iCs/>
        </w:rPr>
        <w:t>9</w:t>
      </w:r>
      <w:r>
        <w:t>(3), 432–441.</w:t>
      </w:r>
    </w:p>
    <w:p w14:paraId="48DAB7B9" w14:textId="77777777" w:rsidR="002E473A" w:rsidRDefault="00000000">
      <w:pPr>
        <w:pStyle w:val="Bibliography"/>
      </w:pPr>
      <w:bookmarkStart w:id="45" w:name="ref-GABRIELE2022108243"/>
      <w:bookmarkEnd w:id="44"/>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sidR="002E473A">
          <w:rPr>
            <w:rStyle w:val="Hyperlink"/>
          </w:rPr>
          <w:t>https://doi.org/10.1016/j.biopsycho.2021.108243</w:t>
        </w:r>
      </w:hyperlink>
    </w:p>
    <w:p w14:paraId="09C7061B" w14:textId="77777777" w:rsidR="002E473A" w:rsidRDefault="00000000">
      <w:pPr>
        <w:pStyle w:val="Bibliography"/>
      </w:pPr>
      <w:bookmarkStart w:id="46" w:name="ref-garfinkel2015knowing"/>
      <w:bookmarkEnd w:id="45"/>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sidR="002E473A">
          <w:rPr>
            <w:rStyle w:val="Hyperlink"/>
          </w:rPr>
          <w:t>https://doi.org/10.1016/j.biopsycho.2014.11.004</w:t>
        </w:r>
      </w:hyperlink>
    </w:p>
    <w:p w14:paraId="334201BE" w14:textId="77777777" w:rsidR="002E473A" w:rsidRDefault="00000000">
      <w:pPr>
        <w:pStyle w:val="Bibliography"/>
      </w:pPr>
      <w:bookmarkStart w:id="47" w:name="ref-garnefski2006cognitive"/>
      <w:bookmarkEnd w:id="46"/>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064997E4" w14:textId="77777777" w:rsidR="002E473A" w:rsidRDefault="00000000">
      <w:pPr>
        <w:pStyle w:val="Bibliography"/>
      </w:pPr>
      <w:bookmarkStart w:id="48" w:name="ref-golino2017exploratory"/>
      <w:bookmarkEnd w:id="47"/>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5054AC57" w14:textId="77777777" w:rsidR="002E473A" w:rsidRDefault="00000000">
      <w:pPr>
        <w:pStyle w:val="Bibliography"/>
      </w:pPr>
      <w:bookmarkStart w:id="49" w:name="ref-Golino02112021"/>
      <w:bookmarkEnd w:id="48"/>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sidR="002E473A">
          <w:rPr>
            <w:rStyle w:val="Hyperlink"/>
          </w:rPr>
          <w:t>https://doi.org/10.1080/00273171.2020.1779642</w:t>
        </w:r>
      </w:hyperlink>
    </w:p>
    <w:p w14:paraId="5B646D61" w14:textId="77777777" w:rsidR="002E473A" w:rsidRDefault="00000000">
      <w:pPr>
        <w:pStyle w:val="Bibliography"/>
      </w:pPr>
      <w:bookmarkStart w:id="50" w:name="ref-golino2020investigating"/>
      <w:bookmarkEnd w:id="49"/>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36C51208" w14:textId="77777777" w:rsidR="002E473A" w:rsidRDefault="00000000">
      <w:pPr>
        <w:pStyle w:val="Bibliography"/>
      </w:pPr>
      <w:bookmarkStart w:id="51" w:name="ref-indahl2018similarity"/>
      <w:bookmarkEnd w:id="50"/>
      <w:r>
        <w:t xml:space="preserve">Indahl, U. G., Næs, T., &amp; Liland, K. H. (2018). A similarity index for comparing coupled matrices. </w:t>
      </w:r>
      <w:r>
        <w:rPr>
          <w:i/>
          <w:iCs/>
        </w:rPr>
        <w:t>Journal of Chemometrics</w:t>
      </w:r>
      <w:r>
        <w:t xml:space="preserve">, </w:t>
      </w:r>
      <w:r>
        <w:rPr>
          <w:i/>
          <w:iCs/>
        </w:rPr>
        <w:t>32</w:t>
      </w:r>
      <w:r>
        <w:t>(10), e3049.</w:t>
      </w:r>
    </w:p>
    <w:p w14:paraId="4151970C" w14:textId="77777777" w:rsidR="002E473A" w:rsidRDefault="00000000">
      <w:pPr>
        <w:pStyle w:val="Bibliography"/>
      </w:pPr>
      <w:bookmarkStart w:id="52" w:name="ref-jimenez2023dimensionality"/>
      <w:bookmarkEnd w:id="51"/>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721C6E8A" w14:textId="77777777" w:rsidR="002E473A" w:rsidRDefault="00000000">
      <w:pPr>
        <w:pStyle w:val="Bibliography"/>
      </w:pPr>
      <w:bookmarkStart w:id="53" w:name="ref-jovanovic2020longer"/>
      <w:bookmarkEnd w:id="52"/>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47C99367" w14:textId="77777777" w:rsidR="002E473A" w:rsidRDefault="00000000">
      <w:pPr>
        <w:pStyle w:val="Bibliography"/>
      </w:pPr>
      <w:bookmarkStart w:id="54" w:name="ref-khalsa2018interoception"/>
      <w:bookmarkEnd w:id="53"/>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sidR="002E473A">
          <w:rPr>
            <w:rStyle w:val="Hyperlink"/>
          </w:rPr>
          <w:t>https://doi.org/10.1016/j.bpsc.2017.12.004</w:t>
        </w:r>
      </w:hyperlink>
    </w:p>
    <w:p w14:paraId="1B28A638" w14:textId="77777777" w:rsidR="002E473A" w:rsidRDefault="00000000">
      <w:pPr>
        <w:pStyle w:val="Bibliography"/>
      </w:pPr>
      <w:bookmarkStart w:id="55" w:name="ref-kirsch2023role"/>
      <w:bookmarkEnd w:id="54"/>
      <w:r>
        <w:lastRenderedPageBreak/>
        <w:t xml:space="preserve">Kirsch, W., &amp; Kunde, W. (2023). On the role of interoception in body and object perception: A multisensory-integration account. </w:t>
      </w:r>
      <w:r>
        <w:rPr>
          <w:i/>
          <w:iCs/>
        </w:rPr>
        <w:t>Perspectives on Psychological Science</w:t>
      </w:r>
      <w:r>
        <w:t xml:space="preserve">, </w:t>
      </w:r>
      <w:r>
        <w:rPr>
          <w:i/>
          <w:iCs/>
        </w:rPr>
        <w:t>18</w:t>
      </w:r>
      <w:r>
        <w:t>(2), 321–339.</w:t>
      </w:r>
    </w:p>
    <w:p w14:paraId="017D76FB" w14:textId="77777777" w:rsidR="002E473A" w:rsidRDefault="00000000">
      <w:pPr>
        <w:pStyle w:val="Bibliography"/>
      </w:pPr>
      <w:bookmarkStart w:id="56" w:name="ref-kolacz2018body"/>
      <w:bookmarkEnd w:id="55"/>
      <w:r>
        <w:t xml:space="preserve">Kolacz, J., Holmes, L., &amp; Porges, S. W. (2018). Body perception questionnaire (BPQ) manual. </w:t>
      </w:r>
      <w:r>
        <w:rPr>
          <w:i/>
          <w:iCs/>
        </w:rPr>
        <w:t>Traumatic Stress Research Consortium</w:t>
      </w:r>
      <w:r>
        <w:t>.</w:t>
      </w:r>
    </w:p>
    <w:p w14:paraId="454A3D58" w14:textId="77777777" w:rsidR="002E473A" w:rsidRDefault="00000000">
      <w:pPr>
        <w:pStyle w:val="Bibliography"/>
      </w:pPr>
      <w:bookmarkStart w:id="57" w:name="ref-kroenke2009ultra"/>
      <w:bookmarkEnd w:id="56"/>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4C2041B8" w14:textId="77777777" w:rsidR="002E473A" w:rsidRDefault="00000000">
      <w:pPr>
        <w:pStyle w:val="Bibliography"/>
      </w:pPr>
      <w:bookmarkStart w:id="58" w:name="ref-leising2009toronto"/>
      <w:bookmarkEnd w:id="57"/>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0C86129A" w14:textId="77777777" w:rsidR="002E473A" w:rsidRDefault="00000000">
      <w:pPr>
        <w:pStyle w:val="Bibliography"/>
      </w:pPr>
      <w:bookmarkStart w:id="59" w:name="ref-lin2023psychometric"/>
      <w:bookmarkEnd w:id="58"/>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0E8460DC" w14:textId="77777777" w:rsidR="002E473A" w:rsidRDefault="00000000">
      <w:pPr>
        <w:pStyle w:val="Bibliography"/>
      </w:pPr>
      <w:bookmarkStart w:id="60" w:name="ref-longarzo2015relationships"/>
      <w:bookmarkEnd w:id="59"/>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7849345" w14:textId="77777777" w:rsidR="002E473A" w:rsidRDefault="00000000">
      <w:pPr>
        <w:pStyle w:val="Bibliography"/>
      </w:pPr>
      <w:bookmarkStart w:id="61" w:name="ref-ludecke2020extracting"/>
      <w:bookmarkEnd w:id="60"/>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04126C27" w14:textId="77777777" w:rsidR="002E473A" w:rsidRDefault="00000000">
      <w:pPr>
        <w:pStyle w:val="Bibliography"/>
      </w:pPr>
      <w:bookmarkStart w:id="62" w:name="ref-ludecke2021performance"/>
      <w:bookmarkEnd w:id="61"/>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51CBBC7B" w14:textId="77777777" w:rsidR="002E473A" w:rsidRDefault="00000000">
      <w:pPr>
        <w:pStyle w:val="Bibliography"/>
      </w:pPr>
      <w:bookmarkStart w:id="63" w:name="ref-ludecke2019insight"/>
      <w:bookmarkEnd w:id="62"/>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100A89E3" w14:textId="77777777" w:rsidR="002E473A" w:rsidRDefault="00000000">
      <w:pPr>
        <w:pStyle w:val="Bibliography"/>
      </w:pPr>
      <w:bookmarkStart w:id="64" w:name="ref-magnavita2022development"/>
      <w:bookmarkEnd w:id="63"/>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7F587CB6" w14:textId="77777777" w:rsidR="002E473A" w:rsidRDefault="00000000">
      <w:pPr>
        <w:pStyle w:val="Bibliography"/>
      </w:pPr>
      <w:bookmarkStart w:id="65" w:name="ref-ma2024demographic"/>
      <w:bookmarkEnd w:id="64"/>
      <w:r>
        <w:t xml:space="preserve">Ma-Kellams, C., Prentice, F., Spooner, R., &amp; Murphy, J. (2024). Demographic differences in interoception. </w:t>
      </w:r>
      <w:r>
        <w:rPr>
          <w:i/>
          <w:iCs/>
        </w:rPr>
        <w:t>Interoception: A Comprehensive Guide</w:t>
      </w:r>
      <w:r>
        <w:t>, 357–403.</w:t>
      </w:r>
    </w:p>
    <w:p w14:paraId="00B55B9D" w14:textId="77777777" w:rsidR="002E473A" w:rsidRDefault="00000000">
      <w:pPr>
        <w:pStyle w:val="Bibliography"/>
      </w:pPr>
      <w:bookmarkStart w:id="66" w:name="ref-makowski2025measuring"/>
      <w:bookmarkEnd w:id="65"/>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sidR="002E473A">
          <w:rPr>
            <w:rStyle w:val="Hyperlink"/>
          </w:rPr>
          <w:t>https://doi.org/10.31234/osf.io/436np_v2</w:t>
        </w:r>
      </w:hyperlink>
    </w:p>
    <w:p w14:paraId="48885580" w14:textId="77777777" w:rsidR="002E473A" w:rsidRDefault="00000000">
      <w:pPr>
        <w:pStyle w:val="Bibliography"/>
      </w:pPr>
      <w:bookmarkStart w:id="67" w:name="ref-mayer2011exploratory"/>
      <w:bookmarkEnd w:id="66"/>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3144E392" w14:textId="77777777" w:rsidR="002E473A" w:rsidRDefault="00000000">
      <w:pPr>
        <w:pStyle w:val="Bibliography"/>
      </w:pPr>
      <w:bookmarkStart w:id="68" w:name="ref-mehling2018multidimensional"/>
      <w:bookmarkEnd w:id="67"/>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3ADB35B3" w14:textId="77777777" w:rsidR="002E473A" w:rsidRDefault="00000000">
      <w:pPr>
        <w:pStyle w:val="Bibliography"/>
      </w:pPr>
      <w:bookmarkStart w:id="69" w:name="ref-mehling2009body"/>
      <w:bookmarkEnd w:id="68"/>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06A7EFD1" w14:textId="77777777" w:rsidR="002E473A" w:rsidRDefault="00000000">
      <w:pPr>
        <w:pStyle w:val="Bibliography"/>
      </w:pPr>
      <w:bookmarkStart w:id="70" w:name="ref-miller1981consciousness"/>
      <w:bookmarkEnd w:id="69"/>
      <w:r>
        <w:t xml:space="preserve">Miller, L. C., Murphy, R., &amp; Buss, A. H. (1981). Consciousness of body: Private and public. </w:t>
      </w:r>
      <w:r>
        <w:rPr>
          <w:i/>
          <w:iCs/>
        </w:rPr>
        <w:t>Journal of Personality and Social Psychology</w:t>
      </w:r>
      <w:r>
        <w:t xml:space="preserve">, </w:t>
      </w:r>
      <w:r>
        <w:rPr>
          <w:i/>
          <w:iCs/>
        </w:rPr>
        <w:t>41</w:t>
      </w:r>
      <w:r>
        <w:t>(2), 397.</w:t>
      </w:r>
    </w:p>
    <w:p w14:paraId="73A7EBF4" w14:textId="77777777" w:rsidR="002E473A" w:rsidRDefault="00000000">
      <w:pPr>
        <w:pStyle w:val="Bibliography"/>
      </w:pPr>
      <w:bookmarkStart w:id="71" w:name="ref-murphy2020testing"/>
      <w:bookmarkEnd w:id="70"/>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0C13F757" w14:textId="77777777" w:rsidR="002E473A" w:rsidRDefault="00000000">
      <w:pPr>
        <w:pStyle w:val="Bibliography"/>
      </w:pPr>
      <w:bookmarkStart w:id="72" w:name="ref-murphy2018classifying"/>
      <w:bookmarkEnd w:id="71"/>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sidR="002E473A">
          <w:rPr>
            <w:rStyle w:val="Hyperlink"/>
          </w:rPr>
          <w:t>https://doi.org/10.3758/s13423-017-1339-z</w:t>
        </w:r>
      </w:hyperlink>
    </w:p>
    <w:p w14:paraId="75047648" w14:textId="77777777" w:rsidR="002E473A" w:rsidRDefault="00000000">
      <w:pPr>
        <w:pStyle w:val="Bibliography"/>
      </w:pPr>
      <w:bookmarkStart w:id="73" w:name="ref-paulus2010interoception"/>
      <w:bookmarkEnd w:id="72"/>
      <w:r>
        <w:t xml:space="preserve">Paulus, M. P., &amp; Stein, M. B. (2010). Interoception in anxiety and depression. </w:t>
      </w:r>
      <w:r>
        <w:rPr>
          <w:i/>
          <w:iCs/>
        </w:rPr>
        <w:t>Brain Structure and Function</w:t>
      </w:r>
      <w:r>
        <w:t xml:space="preserve">, </w:t>
      </w:r>
      <w:r>
        <w:rPr>
          <w:i/>
          <w:iCs/>
        </w:rPr>
        <w:t>214</w:t>
      </w:r>
      <w:r>
        <w:t>(5), 451–463.</w:t>
      </w:r>
    </w:p>
    <w:p w14:paraId="473A9268" w14:textId="77777777" w:rsidR="002E473A" w:rsidRDefault="00000000">
      <w:pPr>
        <w:pStyle w:val="Bibliography"/>
      </w:pPr>
      <w:bookmarkStart w:id="74" w:name="ref-Rcoreteam"/>
      <w:bookmarkEnd w:id="73"/>
      <w:r>
        <w:t xml:space="preserve">R Core Team. (2025). </w:t>
      </w:r>
      <w:r>
        <w:rPr>
          <w:i/>
          <w:iCs/>
        </w:rPr>
        <w:t>R: A language and environment for statistical computing</w:t>
      </w:r>
      <w:r>
        <w:t xml:space="preserve">. R Foundation for Statistical Computing. </w:t>
      </w:r>
      <w:hyperlink r:id="rId16">
        <w:r w:rsidR="002E473A">
          <w:rPr>
            <w:rStyle w:val="Hyperlink"/>
          </w:rPr>
          <w:t>https://www.R-project.org/</w:t>
        </w:r>
      </w:hyperlink>
    </w:p>
    <w:p w14:paraId="2D0F6923" w14:textId="77777777" w:rsidR="002E473A" w:rsidRDefault="00000000">
      <w:pPr>
        <w:pStyle w:val="Bibliography"/>
      </w:pPr>
      <w:bookmarkStart w:id="75" w:name="ref-shields1989body"/>
      <w:bookmarkEnd w:id="74"/>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434136E3" w14:textId="77777777" w:rsidR="002E473A" w:rsidRDefault="00000000">
      <w:pPr>
        <w:pStyle w:val="Bibliography"/>
      </w:pPr>
      <w:bookmarkStart w:id="76" w:name="ref-shoji2018investigating"/>
      <w:bookmarkEnd w:id="75"/>
      <w:r>
        <w:t xml:space="preserve">Shoji, M., Mehling, W. E., &amp; Hautzinger, M. (2018). </w:t>
      </w:r>
      <w:r>
        <w:rPr>
          <w:i/>
          <w:iCs/>
        </w:rPr>
        <w:t>Investigating multidimensional interoceptive awareness in a japanese population</w:t>
      </w:r>
      <w:r>
        <w:t>.</w:t>
      </w:r>
    </w:p>
    <w:p w14:paraId="37E36DC5" w14:textId="77777777" w:rsidR="002E473A" w:rsidRDefault="00000000">
      <w:pPr>
        <w:pStyle w:val="Bibliography"/>
      </w:pPr>
      <w:bookmarkStart w:id="77" w:name="ref-sibson1978studies"/>
      <w:bookmarkEnd w:id="76"/>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AF6E719" w14:textId="77777777" w:rsidR="002E473A" w:rsidRDefault="00000000">
      <w:pPr>
        <w:pStyle w:val="Bibliography"/>
      </w:pPr>
      <w:bookmarkStart w:id="78" w:name="ref-theriault2024check"/>
      <w:bookmarkEnd w:id="77"/>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5D0C7D53" w14:textId="77777777" w:rsidR="002E473A" w:rsidRDefault="00000000">
      <w:pPr>
        <w:pStyle w:val="Bibliography"/>
      </w:pPr>
      <w:bookmarkStart w:id="79" w:name="ref-traag2019louvain"/>
      <w:bookmarkEnd w:id="78"/>
      <w:r>
        <w:t xml:space="preserve">Traag, V. A., Waltman, L., &amp; Van Eck, N. J. (2019). From louvain to leiden: Guaranteeing well-connected communities. </w:t>
      </w:r>
      <w:r>
        <w:rPr>
          <w:i/>
          <w:iCs/>
        </w:rPr>
        <w:t>Scientific Reports</w:t>
      </w:r>
      <w:r>
        <w:t xml:space="preserve">, </w:t>
      </w:r>
      <w:r>
        <w:rPr>
          <w:i/>
          <w:iCs/>
        </w:rPr>
        <w:t>9</w:t>
      </w:r>
      <w:r>
        <w:t>(1), 1–12.</w:t>
      </w:r>
    </w:p>
    <w:p w14:paraId="4330D1C9" w14:textId="77777777" w:rsidR="002E473A" w:rsidRDefault="00000000">
      <w:pPr>
        <w:pStyle w:val="Bibliography"/>
      </w:pPr>
      <w:bookmarkStart w:id="80" w:name="ref-veilleux2024development"/>
      <w:bookmarkEnd w:id="79"/>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42ECF6CB" w14:textId="77777777" w:rsidR="002E473A" w:rsidRDefault="00000000">
      <w:pPr>
        <w:pStyle w:val="Bibliography"/>
      </w:pPr>
      <w:bookmarkStart w:id="81" w:name="ref-vig2022questionnaires"/>
      <w:bookmarkEnd w:id="80"/>
      <w:r>
        <w:t xml:space="preserve">Vig, L., Köteles, F., &amp; Ferentzi, E. (2022). Questionnaires of interoception do not assess the same construct. </w:t>
      </w:r>
      <w:r>
        <w:rPr>
          <w:i/>
          <w:iCs/>
        </w:rPr>
        <w:t>PLoS One</w:t>
      </w:r>
      <w:r>
        <w:t xml:space="preserve">, </w:t>
      </w:r>
      <w:r>
        <w:rPr>
          <w:i/>
          <w:iCs/>
        </w:rPr>
        <w:t>17</w:t>
      </w:r>
      <w:r>
        <w:t>(8), e0273299.</w:t>
      </w:r>
    </w:p>
    <w:p w14:paraId="17C49D5E" w14:textId="77777777" w:rsidR="002E473A" w:rsidRDefault="00000000">
      <w:pPr>
        <w:pStyle w:val="Bibliography"/>
      </w:pPr>
      <w:bookmarkStart w:id="82" w:name="ref-wongvorachan2025item"/>
      <w:bookmarkEnd w:id="81"/>
      <w:r>
        <w:lastRenderedPageBreak/>
        <w:t xml:space="preserve">Wongvorachan, T. (2025). </w:t>
      </w:r>
      <w:r>
        <w:rPr>
          <w:i/>
          <w:iCs/>
        </w:rPr>
        <w:t>Item revision with network psychometrics and natural language processing</w:t>
      </w:r>
      <w:r>
        <w:t>.</w:t>
      </w:r>
    </w:p>
    <w:p w14:paraId="6CD5EDE5" w14:textId="77777777" w:rsidR="002E473A" w:rsidRDefault="00000000">
      <w:pPr>
        <w:pStyle w:val="Bibliography"/>
      </w:pPr>
      <w:bookmarkStart w:id="83" w:name="ref-zamariola2018interoceptive"/>
      <w:bookmarkEnd w:id="82"/>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661466B8" w14:textId="77777777" w:rsidR="002E473A" w:rsidRDefault="00000000">
      <w:pPr>
        <w:pStyle w:val="FigureTitle"/>
      </w:pPr>
      <w:bookmarkStart w:id="84" w:name="fig-one"/>
      <w:bookmarkEnd w:id="24"/>
      <w:bookmarkEnd w:id="83"/>
      <w:r>
        <w:lastRenderedPageBreak/>
        <w:t>Figure 1</w:t>
      </w:r>
    </w:p>
    <w:p w14:paraId="37B59CDA" w14:textId="77777777" w:rsidR="002E473A" w:rsidRDefault="00000000">
      <w:pPr>
        <w:pStyle w:val="Caption"/>
      </w:pPr>
      <w:r>
        <w:t xml:space="preserve">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w:t>
      </w:r>
      <w:r>
        <w:rPr>
          <w:b/>
          <w:bCs/>
        </w:rPr>
        <w:t>Mint scores are robust</w:t>
      </w:r>
      <w:r>
        <w:t xml:space="preserve"> to different presentation conditions, and that the modality-grouping might potentially tend to facilitate the emergence of the underlying item structure (and thus be interpreted as being more “natural”).</w:t>
      </w:r>
    </w:p>
    <w:p w14:paraId="4D4F2246" w14:textId="77777777" w:rsidR="002E473A" w:rsidRDefault="00000000">
      <w:pPr>
        <w:pStyle w:val="FigureWithoutNote"/>
      </w:pPr>
      <w:r>
        <w:rPr>
          <w:noProof/>
        </w:rPr>
        <w:lastRenderedPageBreak/>
        <w:drawing>
          <wp:inline distT="0" distB="0" distL="0" distR="0" wp14:anchorId="30F67AF5" wp14:editId="7AD7E217">
            <wp:extent cx="5943600" cy="566057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6FE2B16A" w14:textId="77777777" w:rsidR="002E473A" w:rsidRDefault="00000000">
      <w:pPr>
        <w:pStyle w:val="FigureTitle"/>
      </w:pPr>
      <w:bookmarkStart w:id="85" w:name="fig-two"/>
      <w:bookmarkEnd w:id="84"/>
      <w:r>
        <w:lastRenderedPageBreak/>
        <w:t>Figure 2</w:t>
      </w:r>
    </w:p>
    <w:p w14:paraId="66BD357A" w14:textId="77777777" w:rsidR="002E473A" w:rsidRDefault="00000000">
      <w:pPr>
        <w:pStyle w:val="Caption"/>
      </w:pPr>
      <w:r>
        <w:t xml:space="preserve">Structure analysis of the final set of 33 Mint items. Hierarchical Exploratory Graph Analysis (EGA) was applied to jointly identify clusters of items, as well as higher-order metaclusters. </w:t>
      </w:r>
      <w:r>
        <w:rPr>
          <w:b/>
          <w:bCs/>
        </w:rPr>
        <w:t>Score reliability at the item level</w:t>
      </w:r>
      <w:r>
        <w:t xml:space="preserve">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stability across methods, and allowing for more granular understanding of the relationships between variables.</w:t>
      </w:r>
    </w:p>
    <w:p w14:paraId="03B980D6" w14:textId="77777777" w:rsidR="002E473A" w:rsidRDefault="00000000">
      <w:pPr>
        <w:pStyle w:val="FigureWithoutNote"/>
      </w:pPr>
      <w:r>
        <w:rPr>
          <w:noProof/>
        </w:rPr>
        <w:lastRenderedPageBreak/>
        <w:drawing>
          <wp:inline distT="0" distB="0" distL="0" distR="0" wp14:anchorId="47098B6F" wp14:editId="5436FD8F">
            <wp:extent cx="4754880" cy="713231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7E903A5A" w14:textId="77777777" w:rsidR="002E473A" w:rsidRDefault="00000000">
      <w:pPr>
        <w:pStyle w:val="FigureTitle"/>
      </w:pPr>
      <w:bookmarkStart w:id="86" w:name="fig-three"/>
      <w:bookmarkEnd w:id="85"/>
      <w:r>
        <w:lastRenderedPageBreak/>
        <w:t>Figure 3</w:t>
      </w:r>
    </w:p>
    <w:p w14:paraId="7E1B79C4" w14:textId="77777777" w:rsidR="002E473A"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7F1B43C5" w14:textId="77777777" w:rsidR="002E473A" w:rsidRDefault="00000000">
      <w:pPr>
        <w:pStyle w:val="FigureWithoutNote"/>
      </w:pPr>
      <w:r>
        <w:rPr>
          <w:noProof/>
        </w:rPr>
        <w:lastRenderedPageBreak/>
        <w:drawing>
          <wp:inline distT="0" distB="0" distL="0" distR="0" wp14:anchorId="5CAA47CA" wp14:editId="0B90FF5B">
            <wp:extent cx="5943600" cy="683248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5403C83D" w14:textId="77777777" w:rsidR="002E473A" w:rsidRDefault="00000000">
      <w:pPr>
        <w:pStyle w:val="FigureTitle"/>
      </w:pPr>
      <w:bookmarkStart w:id="87" w:name="fig-four"/>
      <w:bookmarkEnd w:id="86"/>
      <w:r>
        <w:lastRenderedPageBreak/>
        <w:t>Figure 4</w:t>
      </w:r>
    </w:p>
    <w:p w14:paraId="3025A6C0" w14:textId="77777777" w:rsidR="002E473A"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2F7ADE61" w14:textId="77777777" w:rsidR="002E473A" w:rsidRDefault="00000000">
      <w:pPr>
        <w:pStyle w:val="FigureWithoutNote"/>
      </w:pPr>
      <w:r>
        <w:rPr>
          <w:noProof/>
        </w:rPr>
        <w:lastRenderedPageBreak/>
        <w:drawing>
          <wp:inline distT="0" distB="0" distL="0" distR="0" wp14:anchorId="54A0F9E8" wp14:editId="3EA02DCC">
            <wp:extent cx="5943600" cy="713232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17B205C9" w14:textId="77777777" w:rsidR="002E473A" w:rsidRDefault="00000000">
      <w:pPr>
        <w:pStyle w:val="FigureTitle"/>
      </w:pPr>
      <w:bookmarkStart w:id="88" w:name="fig-five"/>
      <w:bookmarkEnd w:id="87"/>
      <w:r>
        <w:lastRenderedPageBreak/>
        <w:t>Figure 5</w:t>
      </w:r>
    </w:p>
    <w:p w14:paraId="23949BA1" w14:textId="77777777" w:rsidR="002E473A"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17233E64" w14:textId="77777777" w:rsidR="002E473A" w:rsidRDefault="00000000">
      <w:pPr>
        <w:pStyle w:val="FigureWithoutNote"/>
      </w:pPr>
      <w:r>
        <w:rPr>
          <w:noProof/>
        </w:rPr>
        <w:lastRenderedPageBreak/>
        <w:drawing>
          <wp:inline distT="0" distB="0" distL="0" distR="0" wp14:anchorId="2209AFE5" wp14:editId="68ADB44A">
            <wp:extent cx="4873752" cy="645356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3E1D4012" w14:textId="77777777" w:rsidR="002E473A" w:rsidRDefault="00000000">
      <w:pPr>
        <w:pStyle w:val="FigureTitle"/>
      </w:pPr>
      <w:bookmarkStart w:id="89" w:name="fig-six"/>
      <w:bookmarkEnd w:id="88"/>
      <w:r>
        <w:lastRenderedPageBreak/>
        <w:t>Figure 6</w:t>
      </w:r>
    </w:p>
    <w:p w14:paraId="032FBFCB" w14:textId="77777777" w:rsidR="002E473A" w:rsidRDefault="00000000">
      <w:pPr>
        <w:pStyle w:val="Caption"/>
      </w:pPr>
      <w:r>
        <w:t xml:space="preserve">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w:t>
      </w:r>
      <w:r>
        <w:rPr>
          <w:b/>
          <w:bCs/>
        </w:rPr>
        <w:t>However, the Mint and MAIA performed equivalently for central sensitization when accounting for uncertainty in the estimates.</w:t>
      </w:r>
    </w:p>
    <w:p w14:paraId="59DD8CA3" w14:textId="77777777" w:rsidR="002E473A" w:rsidRDefault="00000000">
      <w:pPr>
        <w:pStyle w:val="FigureWithoutNote"/>
      </w:pPr>
      <w:r>
        <w:rPr>
          <w:noProof/>
        </w:rPr>
        <w:drawing>
          <wp:inline distT="0" distB="0" distL="0" distR="0" wp14:anchorId="6AEA5B63" wp14:editId="3BC0E35F">
            <wp:extent cx="5943600" cy="3962399"/>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tudy2/analysis/figures/fig3.png"/>
                    <pic:cNvPicPr>
                      <a:picLocks noChangeAspect="1" noChangeArrowheads="1"/>
                    </pic:cNvPicPr>
                  </pic:nvPicPr>
                  <pic:blipFill>
                    <a:blip r:embed="rId22"/>
                    <a:stretch>
                      <a:fillRect/>
                    </a:stretch>
                  </pic:blipFill>
                  <pic:spPr bwMode="auto">
                    <a:xfrm>
                      <a:off x="0" y="0"/>
                      <a:ext cx="5943600" cy="3962399"/>
                    </a:xfrm>
                    <a:prstGeom prst="rect">
                      <a:avLst/>
                    </a:prstGeom>
                    <a:noFill/>
                    <a:ln w="9525">
                      <a:noFill/>
                      <a:headEnd/>
                      <a:tailEnd/>
                    </a:ln>
                  </pic:spPr>
                </pic:pic>
              </a:graphicData>
            </a:graphic>
          </wp:inline>
        </w:drawing>
      </w:r>
    </w:p>
    <w:p w14:paraId="23692468" w14:textId="77777777" w:rsidR="002E473A" w:rsidRDefault="00000000">
      <w:pPr>
        <w:pStyle w:val="FigureTitle"/>
      </w:pPr>
      <w:bookmarkStart w:id="90" w:name="fig-seven"/>
      <w:bookmarkEnd w:id="89"/>
      <w:r>
        <w:lastRenderedPageBreak/>
        <w:t>Figure 7</w:t>
      </w:r>
    </w:p>
    <w:p w14:paraId="13A67670" w14:textId="77777777" w:rsidR="002E473A"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w:t>
      </w:r>
    </w:p>
    <w:p w14:paraId="741A5331" w14:textId="77777777" w:rsidR="002E473A" w:rsidRDefault="00000000">
      <w:pPr>
        <w:pStyle w:val="FigureWithoutNote"/>
      </w:pPr>
      <w:r>
        <w:rPr>
          <w:noProof/>
        </w:rPr>
        <w:drawing>
          <wp:inline distT="0" distB="0" distL="0" distR="0" wp14:anchorId="71DF7778" wp14:editId="24F72D22">
            <wp:extent cx="4754880" cy="3784884"/>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study2/analysis/figures/table3.png"/>
                    <pic:cNvPicPr>
                      <a:picLocks noChangeAspect="1" noChangeArrowheads="1"/>
                    </pic:cNvPicPr>
                  </pic:nvPicPr>
                  <pic:blipFill>
                    <a:blip r:embed="rId23"/>
                    <a:stretch>
                      <a:fillRect/>
                    </a:stretch>
                  </pic:blipFill>
                  <pic:spPr bwMode="auto">
                    <a:xfrm>
                      <a:off x="0" y="0"/>
                      <a:ext cx="4754880" cy="3784884"/>
                    </a:xfrm>
                    <a:prstGeom prst="rect">
                      <a:avLst/>
                    </a:prstGeom>
                    <a:noFill/>
                    <a:ln w="9525">
                      <a:noFill/>
                      <a:headEnd/>
                      <a:tailEnd/>
                    </a:ln>
                  </pic:spPr>
                </pic:pic>
              </a:graphicData>
            </a:graphic>
          </wp:inline>
        </w:drawing>
      </w:r>
      <w:bookmarkEnd w:id="22"/>
      <w:bookmarkEnd w:id="90"/>
    </w:p>
    <w:sectPr w:rsidR="002E473A">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A29E" w14:textId="77777777" w:rsidR="00434A07" w:rsidRDefault="00434A07">
      <w:pPr>
        <w:spacing w:line="240" w:lineRule="auto"/>
      </w:pPr>
      <w:r>
        <w:separator/>
      </w:r>
    </w:p>
  </w:endnote>
  <w:endnote w:type="continuationSeparator" w:id="0">
    <w:p w14:paraId="2899FF0C" w14:textId="77777777" w:rsidR="00434A07" w:rsidRDefault="00434A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B4FB" w14:textId="77777777" w:rsidR="00434A07" w:rsidRDefault="00434A07">
      <w:pPr>
        <w:pStyle w:val="Footer"/>
      </w:pPr>
    </w:p>
    <w:p w14:paraId="693FD1A8" w14:textId="77777777" w:rsidR="00434A07" w:rsidRDefault="00434A07"/>
    <w:p w14:paraId="505AF704" w14:textId="77777777" w:rsidR="00434A07" w:rsidRDefault="00434A07">
      <w:pPr>
        <w:pStyle w:val="Header"/>
      </w:pPr>
    </w:p>
    <w:p w14:paraId="4CC33E40" w14:textId="77777777" w:rsidR="00434A07" w:rsidRDefault="00434A07"/>
    <w:p w14:paraId="7938095E" w14:textId="77777777" w:rsidR="00434A07" w:rsidRDefault="00434A07">
      <w:pPr>
        <w:pStyle w:val="Footer"/>
      </w:pPr>
    </w:p>
    <w:p w14:paraId="75CC5F78" w14:textId="77777777" w:rsidR="00434A07" w:rsidRDefault="00434A07"/>
    <w:p w14:paraId="3C777668" w14:textId="77777777" w:rsidR="00434A07" w:rsidRDefault="00434A07">
      <w:pPr>
        <w:pStyle w:val="Footer"/>
      </w:pPr>
    </w:p>
    <w:p w14:paraId="4E063857" w14:textId="77777777" w:rsidR="00434A07" w:rsidRDefault="00434A07"/>
    <w:p w14:paraId="5FAC4329" w14:textId="77777777" w:rsidR="00434A07" w:rsidRPr="000D23CF" w:rsidRDefault="00434A07"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6E9968C3" w14:textId="77777777" w:rsidR="00434A07" w:rsidRDefault="00434A07">
      <w:pPr>
        <w:pStyle w:val="Header"/>
      </w:pPr>
    </w:p>
    <w:p w14:paraId="0E54FE20" w14:textId="77777777" w:rsidR="00434A07" w:rsidRDefault="00434A07"/>
    <w:p w14:paraId="6DA5B9B6" w14:textId="77777777" w:rsidR="00434A07" w:rsidRDefault="00434A07">
      <w:pPr>
        <w:spacing w:line="240" w:lineRule="auto"/>
      </w:pPr>
      <w:r>
        <w:separator/>
      </w:r>
    </w:p>
  </w:footnote>
  <w:footnote w:type="continuationSeparator" w:id="0">
    <w:p w14:paraId="6617A10E" w14:textId="77777777" w:rsidR="00434A07" w:rsidRDefault="00434A07">
      <w:pPr>
        <w:spacing w:line="240" w:lineRule="auto"/>
      </w:pPr>
      <w:r>
        <w:continuationSeparator/>
      </w:r>
    </w:p>
  </w:footnote>
  <w:footnote w:id="1">
    <w:p w14:paraId="153CAA28" w14:textId="77777777" w:rsidR="002E473A" w:rsidRDefault="00000000">
      <w:pPr>
        <w:pStyle w:val="FootnoteText"/>
      </w:pPr>
      <w:r>
        <w:rPr>
          <w:rStyle w:val="FootnoteReference"/>
        </w:rPr>
        <w:footnoteRef/>
      </w:r>
      <w:r>
        <w:t xml:space="preserve"> See original items at </w:t>
      </w:r>
      <w:r>
        <w:rPr>
          <w:i/>
          <w:iCs/>
        </w:rPr>
        <w:t>“MASKED FOR REVIEW”</w:t>
      </w:r>
    </w:p>
  </w:footnote>
  <w:footnote w:id="2">
    <w:p w14:paraId="53588085" w14:textId="77777777" w:rsidR="002E473A" w:rsidRDefault="00000000">
      <w:pPr>
        <w:pStyle w:val="FootnoteText"/>
      </w:pPr>
      <w:r>
        <w:rPr>
          <w:rStyle w:val="FootnoteReference"/>
        </w:rPr>
        <w:footnoteRef/>
      </w:r>
      <w:r>
        <w:t xml:space="preserve"> The experiment can be tested by following the link on </w:t>
      </w:r>
      <w:r>
        <w:rPr>
          <w:i/>
          <w:iCs/>
        </w:rPr>
        <w:t>“MASKED FOR REVIEW”</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17EF9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658626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473A"/>
    <w:rsid w:val="002E7A3C"/>
    <w:rsid w:val="0030567B"/>
    <w:rsid w:val="003141C0"/>
    <w:rsid w:val="003340D6"/>
    <w:rsid w:val="00340B9E"/>
    <w:rsid w:val="003562B6"/>
    <w:rsid w:val="00387689"/>
    <w:rsid w:val="003B7C65"/>
    <w:rsid w:val="003D2E3A"/>
    <w:rsid w:val="003D73FF"/>
    <w:rsid w:val="004023D3"/>
    <w:rsid w:val="00434A07"/>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6C73"/>
    <w:rsid w:val="008F27BE"/>
    <w:rsid w:val="009057F5"/>
    <w:rsid w:val="00932B9C"/>
    <w:rsid w:val="009638C5"/>
    <w:rsid w:val="009B29FD"/>
    <w:rsid w:val="009B41AF"/>
    <w:rsid w:val="00A072AF"/>
    <w:rsid w:val="00A16B10"/>
    <w:rsid w:val="00A40791"/>
    <w:rsid w:val="00A46245"/>
    <w:rsid w:val="00A82821"/>
    <w:rsid w:val="00A946AC"/>
    <w:rsid w:val="00AA1F29"/>
    <w:rsid w:val="00AC3115"/>
    <w:rsid w:val="00AC58E4"/>
    <w:rsid w:val="00AD7F50"/>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D438E"/>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6450F4"/>
  <w15:docId w15:val="{8EB3872C-F064-4C9C-8FF7-CC8B1F8AC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356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56</Pages>
  <Words>12543</Words>
  <Characters>71499</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3</cp:revision>
  <dcterms:created xsi:type="dcterms:W3CDTF">2026-09-25T08:51:00Z</dcterms:created>
  <dcterms:modified xsi:type="dcterms:W3CDTF">2026-09-25T09:42:00Z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tested its relationship with other measures. In Study 1 (N=559), a comprehensive item pool using a “modality-by-context” framework was generated and then reduced using psychometric network analysis. In Study 2 (N=737), we further assessed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8752</vt:lpwstr>
  </property>
  <property fmtid="{D5CDD505-2E9C-101B-9397-08002B2CF9AE}" pid="64" name="zerocitations">
    <vt:lpwstr>False</vt:lpwstr>
  </property>
</Properties>
</file>