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4F47" w14:textId="77777777" w:rsidR="00A82CB2" w:rsidRDefault="00000000">
      <w:pPr>
        <w:pStyle w:val="FirstParagraph"/>
      </w:pPr>
      <w:r>
        <w:t xml:space="preserve"> </w:t>
      </w:r>
    </w:p>
    <w:p w14:paraId="63A41F52" w14:textId="77777777" w:rsidR="00A82CB2" w:rsidRDefault="00000000">
      <w:pPr>
        <w:pStyle w:val="BodyText"/>
      </w:pPr>
      <w:r>
        <w:t xml:space="preserve"> </w:t>
      </w:r>
    </w:p>
    <w:p w14:paraId="2A528666" w14:textId="77777777" w:rsidR="00A82CB2" w:rsidRDefault="00000000">
      <w:pPr>
        <w:pStyle w:val="Heading1"/>
      </w:pPr>
      <w:bookmarkStart w:id="0" w:name="title"/>
      <w:r>
        <w:t>The Mint Scale: A Fresh Validation of the Multimodal Interoception Questionnaire and Comparison to the MAIA, BPQ and IAS</w:t>
      </w:r>
    </w:p>
    <w:p w14:paraId="3AFAC954" w14:textId="77777777" w:rsidR="00A82CB2" w:rsidRDefault="00000000">
      <w:r>
        <w:br w:type="page"/>
      </w:r>
    </w:p>
    <w:p w14:paraId="420A5FED" w14:textId="77777777" w:rsidR="00A82CB2" w:rsidRDefault="00000000">
      <w:pPr>
        <w:pStyle w:val="Heading1"/>
      </w:pPr>
      <w:bookmarkStart w:id="1" w:name="abstract"/>
      <w:bookmarkEnd w:id="0"/>
      <w:r>
        <w:lastRenderedPageBreak/>
        <w:t>Abstract</w:t>
      </w:r>
    </w:p>
    <w:p w14:paraId="733C903A" w14:textId="29286159" w:rsidR="00A3476F" w:rsidRPr="00A3476F" w:rsidRDefault="00A3476F" w:rsidP="00A3476F">
      <w:pPr>
        <w:pStyle w:val="BodyText"/>
      </w:pPr>
      <w:r w:rsidRPr="00A3476F">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w:t>
      </w:r>
      <w:r w:rsidRPr="00A3476F">
        <w:rPr>
          <w:b/>
          <w:bCs/>
        </w:rPr>
        <w:t>tested its relationship with other measures</w:t>
      </w:r>
      <w:r w:rsidRPr="00A3476F">
        <w:t xml:space="preserve">. In Study 1 (N=559), a comprehensive item pool using a novel "modality-by-context" framework was generated and then reduced using psychometric network analysis. In Study 2 (N=737), </w:t>
      </w:r>
      <w:r w:rsidRPr="00A3476F">
        <w:rPr>
          <w:b/>
          <w:bCs/>
        </w:rPr>
        <w:t>we further establish the structure of the Mint in an independent sample</w:t>
      </w:r>
      <w:r w:rsidR="00047B2D">
        <w:t xml:space="preserve"> </w:t>
      </w:r>
      <w:r w:rsidRPr="00A3476F">
        <w:t xml:space="preserve">and compare its predictive power against established interoception questionnaires (MAIA-2, BPQ, IAS), and across a wide range of clinical and cognitive outcomes. This rigorous process yielded a 33-item scale with a stable hierarchical structure comprising three </w:t>
      </w:r>
      <w:proofErr w:type="spellStart"/>
      <w:r w:rsidRPr="00A3476F">
        <w:t>metaclusters</w:t>
      </w:r>
      <w:proofErr w:type="spellEnd"/>
      <w:r w:rsidRPr="00A3476F">
        <w:t xml:space="preserve"> (Interoceptive Deficit, Interoceptive Awareness, </w:t>
      </w:r>
      <w:proofErr w:type="spellStart"/>
      <w:r w:rsidRPr="00A3476F">
        <w:t>Visceroception</w:t>
      </w:r>
      <w:proofErr w:type="spellEnd"/>
      <w:r w:rsidRPr="00A3476F">
        <w:t>)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230EDAB8" w14:textId="77777777" w:rsidR="00A82CB2" w:rsidRDefault="00000000">
      <w:pPr>
        <w:pStyle w:val="FirstParagraph"/>
      </w:pPr>
      <w:proofErr w:type="gramStart"/>
      <w:r>
        <w:rPr>
          <w:i/>
          <w:iCs/>
        </w:rPr>
        <w:t>Keywords</w:t>
      </w:r>
      <w:r>
        <w:t>:Interoception</w:t>
      </w:r>
      <w:proofErr w:type="gramEnd"/>
      <w:r>
        <w:t xml:space="preserve"> questionnaire, interoceptive accuracy yscale, MAIA, Mint Validation, Body Awareness, Health</w:t>
      </w:r>
    </w:p>
    <w:p w14:paraId="0BE99399" w14:textId="77777777" w:rsidR="00A82CB2" w:rsidRDefault="00000000">
      <w:r>
        <w:br w:type="page"/>
      </w:r>
    </w:p>
    <w:p w14:paraId="1AD00464" w14:textId="77777777" w:rsidR="00A82CB2" w:rsidRDefault="00000000">
      <w:pPr>
        <w:pStyle w:val="Heading1"/>
      </w:pPr>
      <w:bookmarkStart w:id="2" w:name="firstheader"/>
      <w:bookmarkEnd w:id="1"/>
      <w:r>
        <w:lastRenderedPageBreak/>
        <w:t>The Mint Scale: A Fresh Validation of the Multimodal Interoception Questionnaire and Comparison to the MAIA, BPQ and IAS</w:t>
      </w:r>
    </w:p>
    <w:p w14:paraId="39451F75" w14:textId="77777777" w:rsidR="00A82CB2" w:rsidRDefault="00000000">
      <w:pPr>
        <w:pStyle w:val="Heading1"/>
      </w:pPr>
      <w:bookmarkStart w:id="3" w:name="introduction"/>
      <w:bookmarkEnd w:id="2"/>
      <w:r>
        <w:t>Introduction</w:t>
      </w:r>
    </w:p>
    <w:p w14:paraId="2BD4AF03" w14:textId="77777777" w:rsidR="00A82CB2"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194AC1F6" w14:textId="77777777" w:rsidR="00A82CB2"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63FFB2DC" w14:textId="77777777" w:rsidR="00A82CB2"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w:t>
      </w:r>
      <w:r>
        <w:rPr>
          <w:b/>
          <w:bCs/>
        </w:rPr>
        <w:t xml:space="preserve">the Body Awareness Questionnaire (BAQ, </w:t>
      </w:r>
      <w:hyperlink w:anchor="ref-shields1989body">
        <w:r>
          <w:rPr>
            <w:rStyle w:val="Hyperlink"/>
            <w:b/>
            <w:bCs/>
          </w:rPr>
          <w:t>Shields et al., 1989</w:t>
        </w:r>
      </w:hyperlink>
      <w:r>
        <w:rPr>
          <w:b/>
          <w:bCs/>
        </w:rPr>
        <w:t>)</w:t>
      </w:r>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637DA079" w14:textId="77777777" w:rsidR="00A82CB2"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w:t>
      </w:r>
      <w:r>
        <w:rPr>
          <w:b/>
          <w:bCs/>
        </w:rPr>
        <w:t>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w:t>
      </w:r>
      <w:r>
        <w:t xml:space="preserve"> The MAIA incorporated ideas from the then-booming emotion regulation and mindfulness fields, including subscales assessing adaptive coping strategies and metacognitive insights about the body. More recently, the IAS was recently developed to circumvent these high-level - possibly tangential - constructs, instead capturing subjective reports of concrete bodily events (e.g., coughing, sneezing) as proxies for interoceptive accuracy.</w:t>
      </w:r>
    </w:p>
    <w:p w14:paraId="65823A24" w14:textId="77777777" w:rsidR="00A82CB2" w:rsidRDefault="00000000">
      <w:pPr>
        <w:pStyle w:val="BodyText"/>
      </w:pPr>
      <w:r>
        <w:rPr>
          <w:b/>
          <w:bCs/>
        </w:rPr>
        <w:lastRenderedPageBreak/>
        <w:t xml:space="preserve">Other questionnaires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an extensive review of measures used in the field of interoception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4FFD5E67" w14:textId="77777777" w:rsidR="00A82CB2"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xml:space="preserve">)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however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w:t>
      </w:r>
      <w:r>
        <w:rPr>
          <w:b/>
          <w:bCs/>
        </w:rPr>
        <w:t>because the body constitutes a unitary representation produced by multisensory integration of bottom-up information, with substantial influence from top-down factors (</w:t>
      </w:r>
      <w:hyperlink w:anchor="ref-kirsch2023role">
        <w:r>
          <w:rPr>
            <w:rStyle w:val="Hyperlink"/>
            <w:b/>
            <w:bCs/>
          </w:rPr>
          <w:t>Kirsch &amp; Kunde, 2023</w:t>
        </w:r>
      </w:hyperlink>
      <w:r>
        <w:rPr>
          <w:b/>
          <w:bCs/>
        </w:rPr>
        <w:t>).</w:t>
      </w:r>
      <w:r>
        <w:t xml:space="preserve">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461B81C4" w14:textId="77777777" w:rsidR="00A82CB2" w:rsidRDefault="00000000">
      <w:pPr>
        <w:pStyle w:val="BodyText"/>
      </w:pPr>
      <w:r>
        <w:lastRenderedPageBreak/>
        <w:t>Perhaps most critically, existing measures often ask participants to make general assessments across most/all contexts, which does not capture the potential homeostatic relevance 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which may or may not be relevant homeostatically. For instance, awareness of one’s heartbeat may occur across multiple contexts, including during physical exercise, a moment of anxiety, excitement, or quiet rest with awareness across different contexts reflecting something different about interoceptive sensations.</w:t>
      </w:r>
    </w:p>
    <w:p w14:paraId="284E08B5" w14:textId="77777777" w:rsidR="00A82CB2"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54B0CCB0" w14:textId="77777777" w:rsidR="00A82CB2" w:rsidRDefault="00000000">
      <w:pPr>
        <w:pStyle w:val="BodyText"/>
      </w:pPr>
      <w:r>
        <w:lastRenderedPageBreak/>
        <w:t xml:space="preserve">To address this gap, we developed and </w:t>
      </w:r>
      <w:r>
        <w:rPr>
          <w:b/>
          <w:bCs/>
        </w:rPr>
        <w:t>assessed the Multimodal Interoception Questionnaire (Mint)</w:t>
      </w:r>
      <w:r>
        <w:t>, a new questionnaire that systematically addresses the above limitations. In Study 1, we describe the development of the Mint, using a “modality-by-context” framework to generate a comprehensive item pool, which was then refined using cutting-edge psychometric network analysis.</w:t>
      </w:r>
    </w:p>
    <w:p w14:paraId="1DA959FA" w14:textId="77777777" w:rsidR="00A82CB2" w:rsidRDefault="00000000">
      <w:pPr>
        <w:pStyle w:val="BodyText"/>
      </w:pPr>
      <w:r>
        <w:rPr>
          <w:b/>
          <w:bCs/>
        </w:rPr>
        <w:t>Network psychometrics is an emerging framework for studying relationships among psychological variables by representing them as a network structure (</w:t>
      </w:r>
      <w:hyperlink w:anchor="ref-epskamp2018network">
        <w:r>
          <w:rPr>
            <w:rStyle w:val="Hyperlink"/>
            <w:b/>
            <w:bCs/>
          </w:rPr>
          <w:t>Epskamp et al., 2018</w:t>
        </w:r>
      </w:hyperlink>
      <w:r>
        <w:rPr>
          <w:b/>
          <w:bCs/>
        </w:rP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b/>
            <w:bCs/>
          </w:rPr>
          <w:t>Christensen et al., 2020</w:t>
        </w:r>
      </w:hyperlink>
      <w:r>
        <w:rPr>
          <w:b/>
          <w:bCs/>
        </w:rPr>
        <w:t xml:space="preserve">; </w:t>
      </w:r>
      <w:hyperlink w:anchor="ref-golino2017exploratory">
        <w:r>
          <w:rPr>
            <w:rStyle w:val="Hyperlink"/>
            <w:b/>
            <w:bCs/>
          </w:rPr>
          <w:t>H. F. Golino &amp; Epskamp, 2017</w:t>
        </w:r>
      </w:hyperlink>
      <w:r>
        <w:rPr>
          <w:b/>
          <w:bCs/>
        </w:rPr>
        <w:t xml:space="preserve">; </w:t>
      </w:r>
      <w:hyperlink w:anchor="ref-magnavita2022development">
        <w:r>
          <w:rPr>
            <w:rStyle w:val="Hyperlink"/>
            <w:b/>
            <w:bCs/>
          </w:rPr>
          <w:t>Magnavita &amp; Chiorri, 2022</w:t>
        </w:r>
      </w:hyperlink>
      <w:r>
        <w:rPr>
          <w:b/>
          <w:bCs/>
        </w:rPr>
        <w:t xml:space="preserve">; </w:t>
      </w:r>
      <w:hyperlink w:anchor="ref-wongvorachan2025item">
        <w:r>
          <w:rPr>
            <w:rStyle w:val="Hyperlink"/>
            <w:b/>
            <w:bCs/>
          </w:rPr>
          <w:t>Wongvorachan, 2025</w:t>
        </w:r>
      </w:hyperlink>
      <w:r>
        <w:rPr>
          <w:b/>
          <w:bCs/>
        </w:rP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b/>
            <w:bCs/>
          </w:rPr>
          <w:t>H. F. Golino &amp; Epskamp, 2017</w:t>
        </w:r>
      </w:hyperlink>
      <w:r>
        <w:rPr>
          <w:b/>
          <w:bCs/>
        </w:rPr>
        <w:t>).</w:t>
      </w:r>
    </w:p>
    <w:p w14:paraId="04ED7DBA" w14:textId="77777777" w:rsidR="00A82CB2" w:rsidRDefault="00000000">
      <w:pPr>
        <w:pStyle w:val="BodyText"/>
      </w:pPr>
      <w:r>
        <w:t xml:space="preserve">In Study 2, </w:t>
      </w:r>
      <w:r>
        <w:rPr>
          <w:b/>
          <w:bCs/>
        </w:rPr>
        <w:t>we evaluate the final 33-item</w:t>
      </w:r>
      <w:r>
        <w:t xml:space="preserve"> version of the Mint against the established interoception questionnaires, demonstrating its robust structure and predictive validity for a range of clinically-relevant outcomes.</w:t>
      </w:r>
    </w:p>
    <w:p w14:paraId="25FCFB00" w14:textId="77777777" w:rsidR="00A82CB2" w:rsidRDefault="00000000">
      <w:pPr>
        <w:pStyle w:val="Heading1"/>
      </w:pPr>
      <w:bookmarkStart w:id="4" w:name="study-1-item-selection"/>
      <w:bookmarkEnd w:id="3"/>
      <w:r>
        <w:lastRenderedPageBreak/>
        <w:t>Study 1: Item Selection</w:t>
      </w:r>
    </w:p>
    <w:p w14:paraId="7535EBD7" w14:textId="77777777" w:rsidR="00A82CB2" w:rsidRDefault="00000000">
      <w:pPr>
        <w:pStyle w:val="FirstParagraph"/>
      </w:pPr>
      <w:r>
        <w:t xml:space="preserve">The aim of Study 1 was to develop a new interoception questionnaire by generating a comprehensive item pool and subsequently refining it into a psychometrically robust scale.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instead build on existing research and synthesise existing ideas and frameworks into a comprehensive and modern tool that captures both the richness of interoceptive experiences and the most prominent facets of interoception.</w:t>
      </w:r>
    </w:p>
    <w:p w14:paraId="30A583D4" w14:textId="77777777" w:rsidR="00A82CB2" w:rsidRDefault="00000000">
      <w:pPr>
        <w:pStyle w:val="BodyText"/>
      </w:pPr>
      <w:r>
        <w:rPr>
          <w:b/>
          <w:bCs/>
        </w:rPr>
        <w:t xml:space="preserve">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w:t>
      </w:r>
      <w:r>
        <w:rPr>
          <w:b/>
          <w:bCs/>
        </w:rPr>
        <w:lastRenderedPageBreak/>
        <w:t>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8BF2512" w14:textId="77777777" w:rsidR="00A82CB2"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37FE0133" w14:textId="77777777" w:rsidR="00A82CB2" w:rsidRDefault="00000000">
      <w:pPr>
        <w:pStyle w:val="BodyText"/>
      </w:pPr>
      <w:r>
        <w:t xml:space="preserve">The initial pool of 120 was then reduced using cutting-edge psychometric network-based techniques,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w:t>
      </w:r>
      <w:r>
        <w:lastRenderedPageBreak/>
        <w:t>multi-stage process was designed to produce a subset of items with a clear, stable, and theoretically rich hierarchical structure, ready for formal validation in Study 2.</w:t>
      </w:r>
    </w:p>
    <w:p w14:paraId="2680DD51" w14:textId="77777777" w:rsidR="00A82CB2" w:rsidRDefault="00000000">
      <w:pPr>
        <w:pStyle w:val="Heading2"/>
      </w:pPr>
      <w:bookmarkStart w:id="5" w:name="methods"/>
      <w:r>
        <w:t>Methods</w:t>
      </w:r>
    </w:p>
    <w:p w14:paraId="38B73375" w14:textId="77777777" w:rsidR="00A82CB2" w:rsidRDefault="00000000">
      <w:pPr>
        <w:pStyle w:val="Heading3"/>
      </w:pPr>
      <w:bookmarkStart w:id="6" w:name="participants"/>
      <w:r>
        <w:t>Participants</w:t>
      </w:r>
    </w:p>
    <w:p w14:paraId="673DF0D5" w14:textId="77777777" w:rsidR="00A82CB2"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w:t>
      </w:r>
      <w:r>
        <w:rPr>
          <w:b/>
          <w:bCs/>
        </w:rPr>
        <w:t>1.07% non-binary</w:t>
      </w:r>
      <w:r>
        <w:t xml:space="preserve">; country of residence: 63.86% UK, 26.65% USA, </w:t>
      </w:r>
      <w:r>
        <w:rPr>
          <w:b/>
          <w:bCs/>
        </w:rPr>
        <w:t>9.48% other</w:t>
      </w:r>
      <w:r>
        <w:t xml:space="preserve">). </w:t>
      </w:r>
      <w:r>
        <w:rPr>
          <w:b/>
          <w:bCs/>
        </w:rPr>
        <w:t>Within this sample, 68.3% identified as White, 11.3% as Black, 5.7% as Mixed ethnicity, and 4.1% as South Asian, 9.3% as others and 0.7% preferred to not disclose.</w:t>
      </w:r>
    </w:p>
    <w:p w14:paraId="4E4D19B5" w14:textId="77777777" w:rsidR="00A82CB2" w:rsidRDefault="00000000">
      <w:pPr>
        <w:pStyle w:val="BodyText"/>
      </w:pPr>
      <w:r>
        <w:t>This study was approved by the University of Sussex’ Ethics Committee (ER/MB2021/1).</w:t>
      </w:r>
    </w:p>
    <w:p w14:paraId="7EE01808" w14:textId="77777777" w:rsidR="00A82CB2" w:rsidRDefault="00000000">
      <w:pPr>
        <w:pStyle w:val="Heading3"/>
      </w:pPr>
      <w:bookmarkStart w:id="7" w:name="item-generation"/>
      <w:bookmarkEnd w:id="6"/>
      <w:r>
        <w:t>Item Generation</w:t>
      </w:r>
    </w:p>
    <w:p w14:paraId="7606DE98" w14:textId="77777777" w:rsidR="00A82CB2"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22CBBE32" w14:textId="77777777" w:rsidR="00A82CB2" w:rsidRDefault="00000000">
      <w:pPr>
        <w:pStyle w:val="FirstParagraph"/>
      </w:pPr>
      <w:bookmarkStart w:id="8" w:name="Xd87698472619f9a495a20ef48dd137544941713"/>
      <w:bookmarkEnd w:id="4"/>
      <w:bookmarkEnd w:id="5"/>
      <w:bookmarkEnd w:id="7"/>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w:t>
      </w:r>
      <w:r>
        <w:lastRenderedPageBreak/>
        <w:t xml:space="preserve">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w:t>
      </w:r>
    </w:p>
    <w:p w14:paraId="7D4C4127" w14:textId="77777777" w:rsidR="00A82CB2" w:rsidRDefault="00000000">
      <w:pPr>
        <w:pStyle w:val="BodyText"/>
      </w:pPr>
      <w:r>
        <w:t>Using this orthogonal 7x6 modality/facet grid as a conceptual scaffolding, we generated 120 initial items, striving for a balanced number of items with consistent phrasing within modalities and facets.</w:t>
      </w:r>
      <w:r>
        <w:rPr>
          <w:rStyle w:val="FootnoteReference"/>
        </w:rPr>
        <w:footnoteReference w:id="1"/>
      </w:r>
      <w:r>
        <w:t xml:space="preserve"> Items were generated through conversations between the researchers/authors of this paper.  Items were generated through conversations between the reserachers/authors of these paper.</w:t>
      </w:r>
    </w:p>
    <w:p w14:paraId="716C7B53" w14:textId="77777777" w:rsidR="00A82CB2" w:rsidRDefault="00000000">
      <w:pPr>
        <w:pStyle w:val="BodyText"/>
      </w:pPr>
      <w:r>
        <w:t xml:space="preserve">We additionally crafted 8 “attention check” items blending in (and distributed across) each category. </w:t>
      </w:r>
      <w:r>
        <w:rPr>
          <w:b/>
          <w:bCs/>
        </w:rPr>
        <w:t xml:space="preserve">These items were designed to match the grammatical structure and response </w:t>
      </w:r>
      <w:r>
        <w:rPr>
          <w:b/>
          <w:bCs/>
        </w:rPr>
        <w:lastRenderedPageBreak/>
        <w:t>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69C41503" w14:textId="77777777" w:rsidR="00A82CB2" w:rsidRDefault="00000000">
      <w:pPr>
        <w:pStyle w:val="Heading3"/>
      </w:pPr>
      <w:bookmarkStart w:id="9" w:name="procedure"/>
      <w:r>
        <w:t>Procedure</w:t>
      </w:r>
    </w:p>
    <w:p w14:paraId="226709A8" w14:textId="77777777" w:rsidR="00A82CB2"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65EA2548" w14:textId="77777777" w:rsidR="00A82CB2" w:rsidRDefault="00000000">
      <w:pPr>
        <w:pStyle w:val="Heading3"/>
      </w:pPr>
      <w:bookmarkStart w:id="10" w:name="data-analysis"/>
      <w:bookmarkEnd w:id="9"/>
      <w:r>
        <w:t>Data Analysis</w:t>
      </w:r>
    </w:p>
    <w:p w14:paraId="62A51E49" w14:textId="77777777" w:rsidR="00A82CB2" w:rsidRDefault="00000000">
      <w:pPr>
        <w:pStyle w:val="FirstParagraph"/>
      </w:pPr>
      <w:r>
        <w:t xml:space="preserve">In order 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xml:space="preserve">). For each index, we bootstrapped the difference between the similarity with the facet and </w:t>
      </w:r>
      <w:r>
        <w:lastRenderedPageBreak/>
        <w:t>modality conditions to test whether the correlation matrix in the random-grouping condition is significantly more similar to any of the two other conditions.</w:t>
      </w:r>
    </w:p>
    <w:p w14:paraId="7387BC45" w14:textId="77777777" w:rsidR="00A82CB2" w:rsidRDefault="00000000">
      <w:pPr>
        <w:pStyle w:val="BodyText"/>
      </w:pPr>
      <w:r>
        <w:t xml:space="preserve">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a novel and principled method derived from network psychometrics.</w:t>
      </w:r>
    </w:p>
    <w:p w14:paraId="394E9688" w14:textId="77777777" w:rsidR="00A82CB2" w:rsidRDefault="00000000">
      <w:pPr>
        <w:pStyle w:val="BodyText"/>
      </w:pPr>
      <w:r>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16F1B5CD" w14:textId="77777777" w:rsidR="00A82CB2" w:rsidRDefault="00000000">
      <w:pPr>
        <w:pStyle w:val="BodyText"/>
      </w:pPr>
      <w:r>
        <w:rPr>
          <w:b/>
          <w:bCs/>
        </w:rP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b/>
            <w:bCs/>
          </w:rPr>
          <w:t>Christensen &amp; Golino, 2021b</w:t>
        </w:r>
      </w:hyperlink>
      <w:r>
        <w:rPr>
          <w:b/>
          <w:bCs/>
        </w:rPr>
        <w:t>). In contrast, EGA estimates a network of conditional associations among items and identifies dimensions as communities of strongly connected nodes (</w:t>
      </w:r>
      <w:hyperlink w:anchor="ref-golino2017exploratory">
        <w:r>
          <w:rPr>
            <w:rStyle w:val="Hyperlink"/>
            <w:b/>
            <w:bCs/>
          </w:rPr>
          <w:t>H. F. Golino &amp; Epskamp, 2017</w:t>
        </w:r>
      </w:hyperlink>
      <w:r>
        <w:rPr>
          <w:b/>
          <w:bCs/>
        </w:rPr>
        <w:t xml:space="preserve">). Rather than attributing associations to latent causes, this approach allows structure to emerge from patterns of direct relationships among items. This framework is particularly appropriate </w:t>
      </w:r>
      <w:r>
        <w:rPr>
          <w:b/>
          <w:bCs/>
        </w:rPr>
        <w:lastRenderedPageBreak/>
        <w:t>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b/>
            <w:bCs/>
          </w:rPr>
          <w:t>Christensen &amp; Golino, 2021b</w:t>
        </w:r>
      </w:hyperlink>
      <w:r>
        <w:rPr>
          <w:b/>
          <w:bCs/>
        </w:rPr>
        <w:t xml:space="preserve">; </w:t>
      </w:r>
      <w:hyperlink w:anchor="ref-jimenez2023dimensionality">
        <w:r>
          <w:rPr>
            <w:rStyle w:val="Hyperlink"/>
            <w:b/>
            <w:bCs/>
          </w:rPr>
          <w:t>Jiménez et al., 2023</w:t>
        </w:r>
      </w:hyperlink>
      <w:r>
        <w:rPr>
          <w:b/>
          <w:bCs/>
        </w:rPr>
        <w:t>).</w:t>
      </w:r>
    </w:p>
    <w:p w14:paraId="51D83D82" w14:textId="77777777" w:rsidR="00A82CB2" w:rsidRDefault="00000000">
      <w:pPr>
        <w:pStyle w:val="BodyText"/>
      </w:pPr>
      <w:r>
        <w:t>After removing redundant items using UVA, we iteratively fitted hierarchical EGA models (which additionally estimate higher-order “meta” clusters) using “glasso” (</w:t>
      </w:r>
      <w:hyperlink w:anchor="ref-friedman2008sparse">
        <w:r>
          <w:rPr>
            <w:rStyle w:val="Hyperlink"/>
          </w:rPr>
          <w:t>Friedman et al., 2008</w:t>
        </w:r>
      </w:hyperlink>
      <w:r>
        <w:t>) and the “Leiden” algorithm (</w:t>
      </w:r>
      <w:hyperlink w:anchor="ref-traag2019louvain">
        <w:r>
          <w:rPr>
            <w:rStyle w:val="Hyperlink"/>
          </w:rPr>
          <w:t>Traag et al., 2019</w:t>
        </w:r>
      </w:hyperlink>
      <w:r>
        <w:t xml:space="preserve">) for community detection, refining the item pool at each step. </w:t>
      </w:r>
      <w:r>
        <w:rPr>
          <w:b/>
          <w:bCs/>
        </w:rPr>
        <w:t>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b/>
            <w:bCs/>
          </w:rPr>
          <w:t>Christensen &amp; Golino, 2021a</w:t>
        </w:r>
      </w:hyperlink>
      <w:r>
        <w:rPr>
          <w:b/>
          <w:bCs/>
        </w:rPr>
        <w:t xml:space="preserve">). Although the recommended removal threshold is </w:t>
      </w:r>
      <m:oMath>
        <m:r>
          <m:rPr>
            <m:sty m:val="p"/>
          </m:rPr>
          <w:rPr>
            <w:rFonts w:ascii="Cambria Math" w:hAnsi="Cambria Math"/>
          </w:rPr>
          <m:t>≥</m:t>
        </m:r>
      </m:oMath>
      <w:r>
        <w:rPr>
          <w:b/>
          <w:bCs/>
        </w:rP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w:t>
      </w:r>
      <w:r>
        <w:t xml:space="preserve"> Finally, </w:t>
      </w:r>
      <w:r>
        <w:rPr>
          <w:b/>
          <w:bCs/>
        </w:rPr>
        <w:t>within</w:t>
      </w:r>
      <w:r>
        <w:t xml:space="preserve"> each lower-level cluster, we selected the three items with the highest node centrality (i.e., the strongest loadings within the cluster). </w:t>
      </w:r>
      <w:r>
        <w:rPr>
          <w:b/>
          <w:bCs/>
        </w:rPr>
        <w:t xml:space="preserve">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b/>
            <w:bCs/>
          </w:rPr>
          <w:t>Christensen &amp; Golino, 2021a</w:t>
        </w:r>
      </w:hyperlink>
      <w:r>
        <w:rPr>
          <w:b/>
          <w:bCs/>
        </w:rPr>
        <w:t xml:space="preserve">) indicates a robust dimension, whereas lower values suggest unstable, sample-dependent, or poorly defined dimensions. Lastly, we assesseed model fit using the Generalized Total Entropy Fit Index (TEFI, </w:t>
      </w:r>
      <w:hyperlink w:anchor="ref-Golino02112021">
        <w:r>
          <w:rPr>
            <w:rStyle w:val="Hyperlink"/>
            <w:b/>
            <w:bCs/>
          </w:rPr>
          <w:t>H. Golino et al., 2021</w:t>
        </w:r>
      </w:hyperlink>
      <w:r>
        <w:rPr>
          <w:b/>
          <w:bCs/>
        </w:rPr>
        <w:t xml:space="preserve">), where higher values (i.e., values closer to </w:t>
      </w:r>
      <w:r>
        <w:rPr>
          <w:b/>
          <w:bCs/>
        </w:rPr>
        <w:lastRenderedPageBreak/>
        <w:t>zero) indicate better fit.</w:t>
      </w:r>
      <w:r>
        <w:t xml:space="preserve"> </w:t>
      </w:r>
      <w:r>
        <w:rPr>
          <w:b/>
          <w:bCs/>
        </w:rPr>
        <w:t>We additionally conducted an exploratory factor analysis (EFA) following the same item-removal procedure and compared the resulting structure with the EGA solution to complement the psychometric network approach with a traditional factor-analytic framework.</w:t>
      </w:r>
    </w:p>
    <w:p w14:paraId="6FBC7B5E" w14:textId="77777777" w:rsidR="00A82CB2" w:rsidRDefault="00000000">
      <w:pPr>
        <w:pStyle w:val="BodyText"/>
      </w:pPr>
      <w:r>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2CD5A881" w14:textId="77777777" w:rsidR="00A82CB2" w:rsidRDefault="00000000">
      <w:pPr>
        <w:pStyle w:val="Heading2"/>
      </w:pPr>
      <w:bookmarkStart w:id="11" w:name="results"/>
      <w:bookmarkEnd w:id="10"/>
      <w:r>
        <w:t>Results</w:t>
      </w:r>
    </w:p>
    <w:p w14:paraId="1BAE314F" w14:textId="77777777" w:rsidR="00A82CB2"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04A67261" w14:textId="77777777" w:rsidR="00A82CB2" w:rsidRDefault="00000000">
      <w:pPr>
        <w:pStyle w:val="BodyText"/>
      </w:pPr>
      <w:r>
        <w:t>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w:t>
      </w:r>
    </w:p>
    <w:p w14:paraId="007E9C14" w14:textId="04E6E4B9" w:rsidR="00A82CB2" w:rsidRDefault="00000000">
      <w:pPr>
        <w:pStyle w:val="BodyText"/>
      </w:pPr>
      <w:r>
        <w:t>The final hierarchical EGA model (</w:t>
      </w:r>
      <w:r>
        <w:rPr>
          <w:b/>
          <w:bCs/>
        </w:rPr>
        <w:t>TEFI</w:t>
      </w:r>
      <w:r>
        <w:t xml:space="preserve"> = -119.18)</w:t>
      </w:r>
      <w:r w:rsidR="00A75D77">
        <w:t>,</w:t>
      </w:r>
      <w:r>
        <w:t xml:space="preserve">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 xml:space="preserve">Olfactory </w:t>
      </w:r>
      <w:r>
        <w:rPr>
          <w:i/>
          <w:iCs/>
        </w:rPr>
        <w:lastRenderedPageBreak/>
        <w:t>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w:t>
      </w:r>
      <w:r>
        <w:rPr>
          <w:b/>
          <w:bCs/>
        </w:rPr>
        <w:t>Of note, the dimension stability of the higher clusters showed low structure consistency for all high-order clusters (23%-47%).</w:t>
      </w:r>
      <w:r>
        <w:t xml:space="preserve"> </w:t>
      </w:r>
      <w:r>
        <w:rPr>
          <w:b/>
          <w:bCs/>
        </w:rPr>
        <w:t>Within the factor-analytic framework, factor retention using oblimin rotation indicated both a 1-factor 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rPr>
          <w:b/>
          <w:bCs/>
        </w:rP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rPr>
          <w:b/>
          <w:bCs/>
        </w:rP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w:t>
      </w:r>
      <w:r>
        <w:t xml:space="preserve"> </w:t>
      </w:r>
      <w:r>
        <w:rPr>
          <w:b/>
          <w:bCs/>
        </w:rPr>
        <w:t xml:space="preserve">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w:t>
      </w:r>
      <w:r>
        <w:rPr>
          <w:b/>
          <w:bCs/>
        </w:rPr>
        <w:lastRenderedPageBreak/>
        <w:t>solution broadly replicated the domain structure identified by EGA, it tended to yield slightly broader factors.</w:t>
      </w:r>
    </w:p>
    <w:p w14:paraId="14365E85" w14:textId="77777777" w:rsidR="00A82CB2"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04D4D117" w14:textId="77777777" w:rsidR="00A82CB2" w:rsidRDefault="00000000">
      <w:pPr>
        <w:pStyle w:val="Heading2"/>
      </w:pPr>
      <w:bookmarkStart w:id="12" w:name="discussion"/>
      <w:bookmarkEnd w:id="11"/>
      <w:r>
        <w:t>Discussion</w:t>
      </w:r>
    </w:p>
    <w:p w14:paraId="736603E1" w14:textId="77777777" w:rsidR="00A82CB2"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cutting-edge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2BAFD0DA" w14:textId="77777777" w:rsidR="00A82CB2" w:rsidRDefault="00000000">
      <w:pPr>
        <w:pStyle w:val="BodyText"/>
      </w:pPr>
      <w:r>
        <w:t xml:space="preserve">The resulting hierarchical structure offers novel yet interpretable insights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w:t>
      </w:r>
      <w:r>
        <w:lastRenderedPageBreak/>
        <w:t>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pointing to a potential common dimension of heightened perceptual sensitivity to bodily sensations.</w:t>
      </w:r>
    </w:p>
    <w:p w14:paraId="12EC120A" w14:textId="77777777" w:rsidR="00A82CB2" w:rsidRDefault="00000000">
      <w:pPr>
        <w:pStyle w:val="BodyText"/>
      </w:pPr>
      <w:r>
        <w:t>An additional innovation of Study 1 was examining the effect of item presentation on the resulting psychometric structure by comparing structures across different grouping conditions. Although there were no significant effects of item presentation, a consistent (though non-significant) trend suggested that grouping items by modality (rather than by facet or randomly) could be more conducive to revealing the underlying psychometric structure. This finding, while preliminary due to the sample size per condition (</w:t>
      </w:r>
      <m:oMath>
        <m:r>
          <w:rPr>
            <w:rFonts w:ascii="Cambria Math" w:hAnsi="Cambria Math"/>
          </w:rPr>
          <m:t>N</m:t>
        </m:r>
        <m:r>
          <m:rPr>
            <m:sty m:val="p"/>
          </m:rPr>
          <w:rPr>
            <w:rFonts w:ascii="Cambria Math" w:hAnsi="Cambria Math"/>
          </w:rPr>
          <m:t>±</m:t>
        </m:r>
        <m:r>
          <w:rPr>
            <w:rFonts w:ascii="Cambria Math" w:hAnsi="Cambria Math"/>
          </w:rPr>
          <m:t>200</m:t>
        </m:r>
      </m:oMath>
      <w:r>
        <w:t>), highlights a potentially important and under-investigated aspect of questionnaire design worthy of future research.</w:t>
      </w:r>
    </w:p>
    <w:p w14:paraId="057CD11E" w14:textId="77777777" w:rsidR="00A82CB2" w:rsidRDefault="00000000">
      <w:pPr>
        <w:pStyle w:val="Heading1"/>
      </w:pPr>
      <w:bookmarkStart w:id="13" w:name="X3ca031b32d4360f9d1f026d5353082086b82700"/>
      <w:bookmarkEnd w:id="8"/>
      <w:bookmarkEnd w:id="12"/>
      <w:r>
        <w:t>Study 2: Convergent and Criterion Validity</w:t>
      </w:r>
    </w:p>
    <w:p w14:paraId="206F2A51" w14:textId="77777777" w:rsidR="00A82CB2"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w:t>
      </w:r>
      <w:r>
        <w:rPr>
          <w:b/>
          <w:bCs/>
        </w:rPr>
        <w:t>to examine the Mint scale psychometric properties and its relationship with existing measures in a large</w:t>
      </w:r>
      <w:r>
        <w:t xml:space="preserv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the Mint’s criterion validity by directly comparing the predictive power of all interoception questionnaires across a broad range of </w:t>
      </w:r>
      <w:r>
        <w:lastRenderedPageBreak/>
        <w:t xml:space="preserve">outcomes, including emotional, cognitive, and clinical variables. </w:t>
      </w:r>
      <w:r>
        <w:rPr>
          <w:b/>
          <w:bCs/>
        </w:rPr>
        <w:t>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63B724AA" w14:textId="77777777" w:rsidR="00A82CB2" w:rsidRDefault="00000000">
      <w:pPr>
        <w:pStyle w:val="Heading2"/>
      </w:pPr>
      <w:bookmarkStart w:id="14" w:name="methods-1"/>
      <w:r>
        <w:t>Methods</w:t>
      </w:r>
    </w:p>
    <w:p w14:paraId="0406734A" w14:textId="77777777" w:rsidR="00A82CB2" w:rsidRDefault="00000000">
      <w:pPr>
        <w:pStyle w:val="Heading3"/>
      </w:pPr>
      <w:bookmarkStart w:id="15" w:name="participants-1"/>
      <w:r>
        <w:t>Participants</w:t>
      </w:r>
    </w:p>
    <w:p w14:paraId="06819615" w14:textId="77777777" w:rsidR="00A82CB2" w:rsidRDefault="00000000">
      <w:pPr>
        <w:pStyle w:val="FirstParagraph"/>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w:t>
      </w:r>
      <w:r>
        <w:rPr>
          <w:b/>
          <w:bCs/>
        </w:rPr>
        <w:t>1.63% non-binary</w:t>
      </w:r>
      <w:r>
        <w:t xml:space="preserve">; Country of residence: 75.17% United Kingdom, 24.83% other). </w:t>
      </w:r>
      <w:r>
        <w:rPr>
          <w:b/>
          <w:bCs/>
        </w:rPr>
        <w:t>Within this sample, 80.3% identified as White, 6.6% as Black, 4.9% as Mixed ethnicity, and 3.0% as South Asian and 4.3% as others.</w:t>
      </w:r>
    </w:p>
    <w:p w14:paraId="34675FF2" w14:textId="77777777" w:rsidR="00A82CB2" w:rsidRDefault="00000000">
      <w:pPr>
        <w:pStyle w:val="BodyText"/>
      </w:pPr>
      <w:r>
        <w:t>This study was approved by the University of Sussex’ Ethics Committee (ER/EB672/2).</w:t>
      </w:r>
    </w:p>
    <w:p w14:paraId="7CD8A937" w14:textId="77777777" w:rsidR="00A82CB2" w:rsidRDefault="00000000">
      <w:pPr>
        <w:pStyle w:val="Heading3"/>
      </w:pPr>
      <w:bookmarkStart w:id="16" w:name="measures"/>
      <w:bookmarkEnd w:id="15"/>
      <w:r>
        <w:lastRenderedPageBreak/>
        <w:t>Measures</w:t>
      </w:r>
    </w:p>
    <w:p w14:paraId="2CACFF21" w14:textId="77777777" w:rsidR="00A82CB2" w:rsidRDefault="00000000">
      <w:pPr>
        <w:pStyle w:val="Heading4"/>
        <w:rPr>
          <w:vanish/>
          <w:specVanish/>
        </w:rPr>
      </w:pPr>
      <w:bookmarkStart w:id="17" w:name="X98194f91da2f9541c5b5239b14a70c7f197c078"/>
      <w:bookmarkEnd w:id="13"/>
      <w:bookmarkEnd w:id="14"/>
      <w:bookmarkEnd w:id="16"/>
      <w:r>
        <w:t xml:space="preserve">Interoception Questionnaires. </w:t>
      </w:r>
    </w:p>
    <w:p w14:paraId="03C46E28" w14:textId="77777777" w:rsidR="00A82CB2"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xml:space="preserve">). </w:t>
      </w:r>
      <w:r>
        <w:rPr>
          <w:b/>
          <w:bCs/>
        </w:rPr>
        <w:t>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rPr>
          <w:b/>
          <w:bCs/>
        </w:rPr>
        <w:t xml:space="preserve"> = 0.85), Interoceptive Deficit (</w:t>
      </w:r>
      <m:oMath>
        <m:r>
          <w:rPr>
            <w:rFonts w:ascii="Cambria Math" w:hAnsi="Cambria Math"/>
          </w:rPr>
          <m:t>ω</m:t>
        </m:r>
      </m:oMath>
      <w:r>
        <w:rPr>
          <w:b/>
          <w:bCs/>
        </w:rPr>
        <w:t xml:space="preserve"> =0.74), Visceroception (</w:t>
      </w:r>
      <m:oMath>
        <m:r>
          <w:rPr>
            <w:rFonts w:ascii="Cambria Math" w:hAnsi="Cambria Math"/>
          </w:rPr>
          <m:t>ω</m:t>
        </m:r>
      </m:oMath>
      <w:r>
        <w:rPr>
          <w:b/>
          <w:bCs/>
        </w:rPr>
        <w:t xml:space="preserve"> = 0.88).</w:t>
      </w:r>
    </w:p>
    <w:p w14:paraId="21C2ADDB" w14:textId="77777777" w:rsidR="00A82CB2"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t>Always</w:t>
      </w:r>
      <w:r>
        <w:t>). It includes bodily dimensions such as Body Listening, Noticing, Emotional Awareness, dimensions related to emotion regulation, such as Trust, Not-worrying, and Self-Regulation, as 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w:t>
      </w:r>
      <w:r>
        <w:rPr>
          <w:b/>
          <w:bCs/>
        </w:rPr>
        <w:t xml:space="preserve">The subscales of the MAIA-2 showed an acceptable to good internal consistency: </w:t>
      </w:r>
      <m:oMath>
        <m:r>
          <w:rPr>
            <w:rFonts w:ascii="Cambria Math" w:hAnsi="Cambria Math"/>
          </w:rPr>
          <m:t>ω</m:t>
        </m:r>
      </m:oMath>
      <w:r>
        <w:rPr>
          <w:b/>
          <w:bCs/>
        </w:rPr>
        <w:t xml:space="preserve"> Attention regulation = 0.87, </w:t>
      </w:r>
      <m:oMath>
        <m:r>
          <w:rPr>
            <w:rFonts w:ascii="Cambria Math" w:hAnsi="Cambria Math"/>
          </w:rPr>
          <m:t>ω</m:t>
        </m:r>
      </m:oMath>
      <w:r>
        <w:rPr>
          <w:b/>
          <w:bCs/>
        </w:rPr>
        <w:t xml:space="preserve"> Body listening = 0.76, </w:t>
      </w:r>
      <m:oMath>
        <m:r>
          <w:rPr>
            <w:rFonts w:ascii="Cambria Math" w:hAnsi="Cambria Math"/>
          </w:rPr>
          <m:t>ω</m:t>
        </m:r>
      </m:oMath>
      <w:r>
        <w:rPr>
          <w:b/>
          <w:bCs/>
        </w:rPr>
        <w:t xml:space="preserve"> Emotional awareness = 0.79, </w:t>
      </w:r>
      <m:oMath>
        <m:r>
          <w:rPr>
            <w:rFonts w:ascii="Cambria Math" w:hAnsi="Cambria Math"/>
          </w:rPr>
          <m:t>ω</m:t>
        </m:r>
      </m:oMath>
      <w:r>
        <w:rPr>
          <w:b/>
          <w:bCs/>
        </w:rPr>
        <w:t xml:space="preserve"> Not-distracting = 0.80, </w:t>
      </w:r>
      <m:oMath>
        <m:r>
          <w:rPr>
            <w:rFonts w:ascii="Cambria Math" w:hAnsi="Cambria Math"/>
          </w:rPr>
          <m:t>ω</m:t>
        </m:r>
      </m:oMath>
      <w:r>
        <w:rPr>
          <w:b/>
          <w:bCs/>
        </w:rPr>
        <w:t xml:space="preserve"> Noticing = 0.68, </w:t>
      </w:r>
      <m:oMath>
        <m:r>
          <w:rPr>
            <w:rFonts w:ascii="Cambria Math" w:hAnsi="Cambria Math"/>
          </w:rPr>
          <m:t>ω</m:t>
        </m:r>
      </m:oMath>
      <w:r>
        <w:rPr>
          <w:b/>
          <w:bCs/>
        </w:rPr>
        <w:t xml:space="preserve"> Not-worrying = 0.79, </w:t>
      </w:r>
      <m:oMath>
        <m:r>
          <w:rPr>
            <w:rFonts w:ascii="Cambria Math" w:hAnsi="Cambria Math"/>
          </w:rPr>
          <m:t>ω</m:t>
        </m:r>
      </m:oMath>
      <w:r>
        <w:rPr>
          <w:b/>
          <w:bCs/>
        </w:rPr>
        <w:t xml:space="preserve"> Self regulation = 0.84, and </w:t>
      </w:r>
      <m:oMath>
        <m:r>
          <w:rPr>
            <w:rFonts w:ascii="Cambria Math" w:hAnsi="Cambria Math"/>
          </w:rPr>
          <m:t>ω</m:t>
        </m:r>
      </m:oMath>
      <w:r>
        <w:rPr>
          <w:b/>
          <w:bCs/>
        </w:rPr>
        <w:t xml:space="preserve"> Trusting = 0.84.</w:t>
      </w:r>
    </w:p>
    <w:p w14:paraId="44945C50" w14:textId="77777777" w:rsidR="00A82CB2"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xml:space="preserve">). </w:t>
      </w:r>
      <w:r>
        <w:rPr>
          <w:b/>
          <w:bCs/>
        </w:rPr>
        <w:t>Internal consistency for the BPQ-Awareness was good (</w:t>
      </w:r>
      <m:oMath>
        <m:r>
          <w:rPr>
            <w:rFonts w:ascii="Cambria Math" w:hAnsi="Cambria Math"/>
          </w:rPr>
          <m:t>ω</m:t>
        </m:r>
      </m:oMath>
      <w:r>
        <w:rPr>
          <w:b/>
          <w:bCs/>
        </w:rPr>
        <w:t xml:space="preserve"> = 0.91).</w:t>
      </w:r>
    </w:p>
    <w:p w14:paraId="0AA633EB" w14:textId="77777777" w:rsidR="00A82CB2" w:rsidRDefault="00000000">
      <w:pPr>
        <w:pStyle w:val="BodyText"/>
      </w:pPr>
      <w:r>
        <w:lastRenderedPageBreak/>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xml:space="preserve">). </w:t>
      </w:r>
      <w:r>
        <w:rPr>
          <w:b/>
          <w:bCs/>
        </w:rPr>
        <w:t>The IAS had good internal consistency (</w:t>
      </w:r>
      <m:oMath>
        <m:r>
          <w:rPr>
            <w:rFonts w:ascii="Cambria Math" w:hAnsi="Cambria Math"/>
          </w:rPr>
          <m:t>ω</m:t>
        </m:r>
      </m:oMath>
      <w:r>
        <w:rPr>
          <w:b/>
          <w:bCs/>
        </w:rPr>
        <w:t xml:space="preserve"> = 0.88).</w:t>
      </w:r>
    </w:p>
    <w:p w14:paraId="25228375" w14:textId="77777777" w:rsidR="00A82CB2" w:rsidRDefault="00000000">
      <w:pPr>
        <w:pStyle w:val="Heading4"/>
        <w:rPr>
          <w:vanish/>
          <w:specVanish/>
        </w:rPr>
      </w:pPr>
      <w:r>
        <w:t xml:space="preserve">Emotions and Cognition. </w:t>
      </w:r>
    </w:p>
    <w:p w14:paraId="3819E51D" w14:textId="77777777" w:rsidR="00A82CB2"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w:t>
      </w:r>
      <w:r>
        <w:rPr>
          <w:b/>
          <w:bCs/>
        </w:rPr>
        <w:t xml:space="preserve">In this study, the TAS subscales showed poor to acceptable internal consistency: </w:t>
      </w:r>
      <m:oMath>
        <m:r>
          <w:rPr>
            <w:rFonts w:ascii="Cambria Math" w:hAnsi="Cambria Math"/>
          </w:rPr>
          <m:t>ω</m:t>
        </m:r>
      </m:oMath>
      <w:r>
        <w:rPr>
          <w:b/>
          <w:bCs/>
        </w:rPr>
        <w:t xml:space="preserve"> DIF = 0.77, </w:t>
      </w:r>
      <m:oMath>
        <m:r>
          <w:rPr>
            <w:rFonts w:ascii="Cambria Math" w:hAnsi="Cambria Math"/>
          </w:rPr>
          <m:t>ω</m:t>
        </m:r>
      </m:oMath>
      <w:r>
        <w:rPr>
          <w:b/>
          <w:bCs/>
        </w:rPr>
        <w:t xml:space="preserve"> DDF = 0.53 and </w:t>
      </w:r>
      <m:oMath>
        <m:r>
          <w:rPr>
            <w:rFonts w:ascii="Cambria Math" w:hAnsi="Cambria Math"/>
          </w:rPr>
          <m:t>ω</m:t>
        </m:r>
      </m:oMath>
      <w:r>
        <w:rPr>
          <w:b/>
          <w:bCs/>
        </w:rPr>
        <w:t xml:space="preserve"> EOT = 0.69.</w:t>
      </w:r>
    </w:p>
    <w:p w14:paraId="5477598F" w14:textId="77777777" w:rsidR="00A82CB2"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Arousal (</w:t>
      </w:r>
      <w:r>
        <w:rPr>
          <w:i/>
          <w:iCs/>
        </w:rPr>
        <w:t>“My moods are very strong and powerful”</w:t>
      </w:r>
      <w:r>
        <w:t>), Sensitivity (</w:t>
      </w:r>
      <w:r>
        <w:rPr>
          <w:i/>
          <w:iCs/>
        </w:rPr>
        <w:t>“I tend to get very emotional very easily”</w:t>
      </w:r>
      <w:r>
        <w:t>), and Persistence (</w:t>
      </w:r>
      <w:r>
        <w:rPr>
          <w:i/>
          <w:iCs/>
        </w:rPr>
        <w:t>“When I am angry/upset, it takes me much longer than most people to calm down”</w:t>
      </w:r>
      <w:r>
        <w:t xml:space="preserve">). </w:t>
      </w:r>
      <w:r>
        <w:rPr>
          <w:b/>
          <w:bCs/>
        </w:rPr>
        <w:t xml:space="preserve">The subscales of the B-ERS showed acceptable to good internal consistency: </w:t>
      </w:r>
      <m:oMath>
        <m:r>
          <w:rPr>
            <w:rFonts w:ascii="Cambria Math" w:hAnsi="Cambria Math"/>
          </w:rPr>
          <m:t>ω</m:t>
        </m:r>
      </m:oMath>
      <w:r>
        <w:rPr>
          <w:b/>
          <w:bCs/>
        </w:rPr>
        <w:t xml:space="preserve"> Arousal = 0.76, </w:t>
      </w:r>
      <m:oMath>
        <m:r>
          <w:rPr>
            <w:rFonts w:ascii="Cambria Math" w:hAnsi="Cambria Math"/>
          </w:rPr>
          <m:t>ω</m:t>
        </m:r>
      </m:oMath>
      <w:r>
        <w:rPr>
          <w:b/>
          <w:bCs/>
        </w:rPr>
        <w:t xml:space="preserve"> Sensitivity = 0.90 and </w:t>
      </w:r>
      <m:oMath>
        <m:r>
          <w:rPr>
            <w:rFonts w:ascii="Cambria Math" w:hAnsi="Cambria Math"/>
          </w:rPr>
          <m:t>ω</m:t>
        </m:r>
      </m:oMath>
      <w:r>
        <w:rPr>
          <w:b/>
          <w:bCs/>
        </w:rPr>
        <w:t xml:space="preserve"> Persistence = 0.74.</w:t>
      </w:r>
    </w:p>
    <w:p w14:paraId="01B39C7E" w14:textId="77777777" w:rsidR="00A82CB2"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w:r>
        <w:rPr>
          <w:b/>
          <w:bCs/>
        </w:rPr>
        <w:t>(</w:t>
      </w:r>
      <m:oMath>
        <m:r>
          <w:rPr>
            <w:rFonts w:ascii="Cambria Math" w:hAnsi="Cambria Math"/>
          </w:rPr>
          <m:t>ω</m:t>
        </m:r>
      </m:oMath>
      <w:r>
        <w:rPr>
          <w:b/>
          <w:bCs/>
        </w:rPr>
        <w:t xml:space="preserve"> = 0.8)</w:t>
      </w:r>
      <w:r>
        <w:t xml:space="preserve">, Rumination </w:t>
      </w:r>
      <w:r>
        <w:rPr>
          <w:b/>
          <w:bCs/>
        </w:rPr>
        <w:t>(</w:t>
      </w:r>
      <m:oMath>
        <m:r>
          <w:rPr>
            <w:rFonts w:ascii="Cambria Math" w:hAnsi="Cambria Math"/>
          </w:rPr>
          <m:t>ω</m:t>
        </m:r>
      </m:oMath>
      <w:r>
        <w:rPr>
          <w:b/>
          <w:bCs/>
        </w:rPr>
        <w:t xml:space="preserve"> = 0.61)</w:t>
      </w:r>
      <w:r>
        <w:t xml:space="preserve">, Catastrophizing </w:t>
      </w:r>
      <w:r>
        <w:rPr>
          <w:b/>
          <w:bCs/>
        </w:rPr>
        <w:t>(</w:t>
      </w:r>
      <m:oMath>
        <m:r>
          <w:rPr>
            <w:rFonts w:ascii="Cambria Math" w:hAnsi="Cambria Math"/>
          </w:rPr>
          <m:t>ω</m:t>
        </m:r>
      </m:oMath>
      <w:r>
        <w:rPr>
          <w:b/>
          <w:bCs/>
        </w:rPr>
        <w:t xml:space="preserve"> = 0.84)</w:t>
      </w:r>
      <w:r>
        <w:t xml:space="preserve">, Putting into Perspective </w:t>
      </w:r>
      <w:r>
        <w:rPr>
          <w:b/>
          <w:bCs/>
        </w:rPr>
        <w:t>(</w:t>
      </w:r>
      <m:oMath>
        <m:r>
          <w:rPr>
            <w:rFonts w:ascii="Cambria Math" w:hAnsi="Cambria Math"/>
          </w:rPr>
          <m:t>ω</m:t>
        </m:r>
      </m:oMath>
      <w:r>
        <w:rPr>
          <w:b/>
          <w:bCs/>
        </w:rPr>
        <w:t xml:space="preserve"> = 0.70)</w:t>
      </w:r>
      <w:r>
        <w:t xml:space="preserve">, Positive Refocusing </w:t>
      </w:r>
      <w:r>
        <w:rPr>
          <w:b/>
          <w:bCs/>
        </w:rPr>
        <w:t>(</w:t>
      </w:r>
      <m:oMath>
        <m:r>
          <w:rPr>
            <w:rFonts w:ascii="Cambria Math" w:hAnsi="Cambria Math"/>
          </w:rPr>
          <m:t>ω</m:t>
        </m:r>
      </m:oMath>
      <w:r>
        <w:rPr>
          <w:b/>
          <w:bCs/>
        </w:rPr>
        <w:t xml:space="preserve"> = 0.80)</w:t>
      </w:r>
      <w:r>
        <w:t xml:space="preserve">, Positive Reappraisal </w:t>
      </w:r>
      <w:r>
        <w:rPr>
          <w:b/>
          <w:bCs/>
        </w:rPr>
        <w:t>(</w:t>
      </w:r>
      <m:oMath>
        <m:r>
          <w:rPr>
            <w:rFonts w:ascii="Cambria Math" w:hAnsi="Cambria Math"/>
          </w:rPr>
          <m:t>ω</m:t>
        </m:r>
      </m:oMath>
      <w:r>
        <w:rPr>
          <w:b/>
          <w:bCs/>
        </w:rPr>
        <w:t xml:space="preserve"> = 0.75)</w:t>
      </w:r>
      <w:r>
        <w:t xml:space="preserve">, Acceptance </w:t>
      </w:r>
      <w:r>
        <w:rPr>
          <w:b/>
          <w:bCs/>
        </w:rPr>
        <w:t>(</w:t>
      </w:r>
      <m:oMath>
        <m:r>
          <w:rPr>
            <w:rFonts w:ascii="Cambria Math" w:hAnsi="Cambria Math"/>
          </w:rPr>
          <m:t>ω</m:t>
        </m:r>
      </m:oMath>
      <w:r>
        <w:rPr>
          <w:b/>
          <w:bCs/>
        </w:rPr>
        <w:t xml:space="preserve"> = 0.75)</w:t>
      </w:r>
      <w:r>
        <w:t xml:space="preserve">, and Planning </w:t>
      </w:r>
      <w:r>
        <w:rPr>
          <w:b/>
          <w:bCs/>
        </w:rPr>
        <w:t>(</w:t>
      </w:r>
      <m:oMath>
        <m:r>
          <w:rPr>
            <w:rFonts w:ascii="Cambria Math" w:hAnsi="Cambria Math"/>
          </w:rPr>
          <m:t>ω</m:t>
        </m:r>
      </m:oMath>
      <w:r>
        <w:rPr>
          <w:b/>
          <w:bCs/>
        </w:rPr>
        <w:t xml:space="preserve"> = 0.66)</w:t>
      </w:r>
      <w:r>
        <w:t xml:space="preserve">. </w:t>
      </w:r>
      <w:r>
        <w:rPr>
          <w:b/>
          <w:bCs/>
        </w:rPr>
        <w:t>The internal consistency for these dimensions ranged from acceptable to good.</w:t>
      </w:r>
    </w:p>
    <w:p w14:paraId="62874392" w14:textId="77777777" w:rsidR="00A82CB2" w:rsidRDefault="00000000">
      <w:pPr>
        <w:pStyle w:val="BodyText"/>
      </w:pPr>
      <w:r>
        <w:lastRenderedPageBreak/>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xml:space="preserve">). This scale is designed to measure dissociative experiences in adolescence and adulthood, specifically focusing on the felt sense of anomaly-type dissociation. It includes Anomalous Experience of the Self </w:t>
      </w:r>
      <w:r>
        <w:rPr>
          <w:b/>
          <w:bCs/>
        </w:rPr>
        <w:t>(</w:t>
      </w:r>
      <m:oMath>
        <m:r>
          <w:rPr>
            <w:rFonts w:ascii="Cambria Math" w:hAnsi="Cambria Math"/>
          </w:rPr>
          <m:t>ω</m:t>
        </m:r>
      </m:oMath>
      <w:r>
        <w:rPr>
          <w:b/>
          <w:bCs/>
        </w:rPr>
        <w:t xml:space="preserve"> = 0.75)</w:t>
      </w:r>
      <w:r>
        <w:t xml:space="preserve">, Anomalous Experience of the Body </w:t>
      </w:r>
      <w:r>
        <w:rPr>
          <w:b/>
          <w:bCs/>
        </w:rPr>
        <w:t>(</w:t>
      </w:r>
      <m:oMath>
        <m:r>
          <w:rPr>
            <w:rFonts w:ascii="Cambria Math" w:hAnsi="Cambria Math"/>
          </w:rPr>
          <m:t>ω</m:t>
        </m:r>
      </m:oMath>
      <w:r>
        <w:rPr>
          <w:b/>
          <w:bCs/>
        </w:rPr>
        <w:t xml:space="preserve"> = 0.77)</w:t>
      </w:r>
      <w:r>
        <w:t xml:space="preserve">, Anomalous Experiences of Emotion </w:t>
      </w:r>
      <w:r>
        <w:rPr>
          <w:b/>
          <w:bCs/>
        </w:rPr>
        <w:t>(</w:t>
      </w:r>
      <m:oMath>
        <m:r>
          <w:rPr>
            <w:rFonts w:ascii="Cambria Math" w:hAnsi="Cambria Math"/>
          </w:rPr>
          <m:t>ω</m:t>
        </m:r>
      </m:oMath>
      <w:r>
        <w:rPr>
          <w:b/>
          <w:bCs/>
        </w:rPr>
        <w:t xml:space="preserve"> = 0.81)</w:t>
      </w:r>
      <w:r>
        <w:t xml:space="preserve">, Altered Sense of Familiarity </w:t>
      </w:r>
      <w:r>
        <w:rPr>
          <w:b/>
          <w:bCs/>
        </w:rPr>
        <w:t>(</w:t>
      </w:r>
      <m:oMath>
        <m:r>
          <w:rPr>
            <w:rFonts w:ascii="Cambria Math" w:hAnsi="Cambria Math"/>
          </w:rPr>
          <m:t>ω</m:t>
        </m:r>
      </m:oMath>
      <w:r>
        <w:rPr>
          <w:b/>
          <w:bCs/>
        </w:rPr>
        <w:t xml:space="preserve"> = 0.72)</w:t>
      </w:r>
      <w:r>
        <w:t xml:space="preserve">, Altered Sense of Connection </w:t>
      </w:r>
      <w:r>
        <w:rPr>
          <w:b/>
          <w:bCs/>
        </w:rPr>
        <w:t>(</w:t>
      </w:r>
      <m:oMath>
        <m:r>
          <w:rPr>
            <w:rFonts w:ascii="Cambria Math" w:hAnsi="Cambria Math"/>
          </w:rPr>
          <m:t>ω</m:t>
        </m:r>
      </m:oMath>
      <w:r>
        <w:rPr>
          <w:b/>
          <w:bCs/>
        </w:rPr>
        <w:t xml:space="preserve"> = 0.86)</w:t>
      </w:r>
      <w:r>
        <w:t xml:space="preserve">, Altered Sense of Agency </w:t>
      </w:r>
      <w:r>
        <w:rPr>
          <w:b/>
          <w:bCs/>
        </w:rPr>
        <w:t>(</w:t>
      </w:r>
      <m:oMath>
        <m:r>
          <w:rPr>
            <w:rFonts w:ascii="Cambria Math" w:hAnsi="Cambria Math"/>
          </w:rPr>
          <m:t>ω</m:t>
        </m:r>
      </m:oMath>
      <w:r>
        <w:rPr>
          <w:b/>
          <w:bCs/>
        </w:rPr>
        <w:t xml:space="preserve"> = 0.78)</w:t>
      </w:r>
      <w:r>
        <w:t xml:space="preserve">, and Altered Sense of Reality </w:t>
      </w:r>
      <w:r>
        <w:rPr>
          <w:b/>
          <w:bCs/>
        </w:rPr>
        <w:t>(</w:t>
      </w:r>
      <m:oMath>
        <m:r>
          <w:rPr>
            <w:rFonts w:ascii="Cambria Math" w:hAnsi="Cambria Math"/>
          </w:rPr>
          <m:t>ω</m:t>
        </m:r>
      </m:oMath>
      <w:r>
        <w:rPr>
          <w:b/>
          <w:bCs/>
        </w:rPr>
        <w:t xml:space="preserve"> = 0.58)</w:t>
      </w:r>
      <w:r>
        <w:t>. The internal consistency of the subscales were mostly good with the exception of Sense of Reality.</w:t>
      </w:r>
    </w:p>
    <w:p w14:paraId="7A3821E9" w14:textId="77777777" w:rsidR="00A82CB2"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w:t>
      </w:r>
      <w:r>
        <w:rPr>
          <w:b/>
          <w:bCs/>
        </w:rPr>
        <w:t xml:space="preserve">In this study, the internal consistency of the subscales were all good: </w:t>
      </w:r>
      <m:oMath>
        <m:r>
          <w:rPr>
            <w:rFonts w:ascii="Cambria Math" w:hAnsi="Cambria Math"/>
          </w:rPr>
          <m:t>ω</m:t>
        </m:r>
      </m:oMath>
      <w:r>
        <w:rPr>
          <w:b/>
          <w:bCs/>
        </w:rPr>
        <w:t xml:space="preserve"> Good = 0.84, </w:t>
      </w:r>
      <m:oMath>
        <m:r>
          <w:rPr>
            <w:rFonts w:ascii="Cambria Math" w:hAnsi="Cambria Math"/>
          </w:rPr>
          <m:t>ω</m:t>
        </m:r>
      </m:oMath>
      <w:r>
        <w:rPr>
          <w:b/>
          <w:bCs/>
        </w:rPr>
        <w:t xml:space="preserve"> Safe = 0.80, </w:t>
      </w:r>
      <m:oMath>
        <m:r>
          <w:rPr>
            <w:rFonts w:ascii="Cambria Math" w:hAnsi="Cambria Math"/>
          </w:rPr>
          <m:t>ω</m:t>
        </m:r>
      </m:oMath>
      <w:r>
        <w:rPr>
          <w:b/>
          <w:bCs/>
        </w:rPr>
        <w:t xml:space="preserve"> Enticing = 0.80 and </w:t>
      </w:r>
      <m:oMath>
        <m:r>
          <w:rPr>
            <w:rFonts w:ascii="Cambria Math" w:hAnsi="Cambria Math"/>
          </w:rPr>
          <m:t>ω</m:t>
        </m:r>
      </m:oMath>
      <w:r>
        <w:rPr>
          <w:b/>
          <w:bCs/>
        </w:rPr>
        <w:t xml:space="preserve"> Alive = 0.84.</w:t>
      </w:r>
    </w:p>
    <w:p w14:paraId="5679F1BD" w14:textId="77777777" w:rsidR="00A82CB2" w:rsidRDefault="00000000">
      <w:pPr>
        <w:pStyle w:val="Heading4"/>
        <w:rPr>
          <w:vanish/>
          <w:specVanish/>
        </w:rPr>
      </w:pPr>
      <w:r>
        <w:t xml:space="preserve">Health and Wellbeing. </w:t>
      </w:r>
    </w:p>
    <w:p w14:paraId="1F3BB083" w14:textId="77777777" w:rsidR="00A82CB2"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xml:space="preserve">), which adds an additional response option (“Once or twice”), increasing sensitivity to subclinical fluctuations. PhQ-Anxiety showed excellent reliability </w:t>
      </w:r>
      <w:r>
        <w:rPr>
          <w:b/>
          <w:bCs/>
        </w:rPr>
        <w:t>(</w:t>
      </w:r>
      <m:oMath>
        <m:r>
          <w:rPr>
            <w:rFonts w:ascii="Cambria Math" w:hAnsi="Cambria Math"/>
          </w:rPr>
          <m:t>ω</m:t>
        </m:r>
      </m:oMath>
      <w:r>
        <w:rPr>
          <w:b/>
          <w:bCs/>
        </w:rPr>
        <w:t xml:space="preserve"> = 0.91)</w:t>
      </w:r>
      <w:r>
        <w:t xml:space="preserve"> and PHQ-Depression showed good reliability </w:t>
      </w:r>
      <w:r>
        <w:rPr>
          <w:b/>
          <w:bCs/>
        </w:rPr>
        <w:t xml:space="preserve">( </w:t>
      </w:r>
      <m:oMath>
        <m:r>
          <w:rPr>
            <w:rFonts w:ascii="Cambria Math" w:hAnsi="Cambria Math"/>
          </w:rPr>
          <m:t>ω</m:t>
        </m:r>
      </m:oMath>
      <w:r>
        <w:rPr>
          <w:b/>
          <w:bCs/>
        </w:rPr>
        <w:t xml:space="preserve"> = 0.84)</w:t>
      </w:r>
      <w:r>
        <w:t>.</w:t>
      </w:r>
    </w:p>
    <w:p w14:paraId="4FEF44B1" w14:textId="77777777" w:rsidR="00A82CB2" w:rsidRDefault="00000000">
      <w:pPr>
        <w:pStyle w:val="BodyText"/>
      </w:pPr>
      <w:r>
        <w:t xml:space="preserve">Participants were asked to self-report any current, medically diagnosed psychiatric disorders using a checklist based on DSM-5 categories. If one or more conditions were endorsed, participants were asked to indicate any current treatments, including pharmacological (e.g., </w:t>
      </w:r>
      <w:r>
        <w:lastRenderedPageBreak/>
        <w:t>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292B0F7F" w14:textId="77777777" w:rsidR="00A82CB2"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dizziness, nausea, muscle tension, epilepsy, and frequent urination. The </w:t>
      </w:r>
      <w:r>
        <w:rPr>
          <w:i/>
          <w:iCs/>
        </w:rPr>
        <w:t>Central Sensitization</w:t>
      </w:r>
      <w:r>
        <w:t xml:space="preserve"> cluster comprised syndromes characterized by chronic pain and fatigue, likely reflecting central 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w:t>
      </w:r>
      <w:r>
        <w:lastRenderedPageBreak/>
        <w:t>gastroesophageal reflux disease (GERD), multiple sclerosis, and Sjögren’s syndrome.  We scored each cluster as a binary variable based on whether the participant selected at least one symptom from that cluster.</w:t>
      </w:r>
    </w:p>
    <w:p w14:paraId="73FE42C4" w14:textId="77777777" w:rsidR="00A82CB2" w:rsidRDefault="00000000">
      <w:pPr>
        <w:pStyle w:val="Heading4"/>
        <w:rPr>
          <w:vanish/>
          <w:specVanish/>
        </w:rPr>
      </w:pPr>
      <w:r>
        <w:t xml:space="preserve">Lifestyle. </w:t>
      </w:r>
    </w:p>
    <w:p w14:paraId="7C544BEA" w14:textId="77777777" w:rsidR="00A82CB2"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p>
    <w:p w14:paraId="48F153CE" w14:textId="77777777" w:rsidR="00A82CB2" w:rsidRDefault="00000000">
      <w:pPr>
        <w:pStyle w:val="BodyText"/>
      </w:pPr>
      <w:r>
        <w:t>Participants were asked to rate how physically active they consider themselves and how many hours of active workout they engage in per week. Participant’s BMI was computed using height and weight.</w:t>
      </w:r>
    </w:p>
    <w:p w14:paraId="6D28F327" w14:textId="77777777" w:rsidR="00A82CB2" w:rsidRDefault="00000000">
      <w:pPr>
        <w:pStyle w:val="Heading3"/>
      </w:pPr>
      <w:bookmarkStart w:id="18" w:name="procedure-1"/>
      <w:r>
        <w:t>Procedure</w:t>
      </w:r>
    </w:p>
    <w:p w14:paraId="57051FE5" w14:textId="77777777" w:rsidR="00A82CB2" w:rsidRDefault="00000000">
      <w:pPr>
        <w:pStyle w:val="FirstParagraph"/>
      </w:pPr>
      <w:r>
        <w:t xml:space="preserve">In order 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demographic questions, participants always started with the Mint scale, and each following interoception questionnaire was interspersed with two questionnaires from the emotions and pathology groups. 7 attention checks were embedded throughout (one within each major questionnaire). </w:t>
      </w:r>
      <w:r>
        <w:rPr>
          <w:b/>
          <w:bCs/>
        </w:rPr>
        <w:t xml:space="preserve">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w:t>
      </w:r>
      <w:r>
        <w:rPr>
          <w:b/>
          <w:bCs/>
        </w:rPr>
        <w:lastRenderedPageBreak/>
        <w:t>the highest option” (PI-18); and “I feel that to show I am being attentive I will press the lowest option” (CEFSA-14).</w:t>
      </w:r>
      <w:r>
        <w:t xml:space="preserve"> In order to make the experiment more enjoyable, the experiment ended with a radar chart summarizing the participants’ responses to the Mint scale</w:t>
      </w:r>
      <w:r>
        <w:rPr>
          <w:rStyle w:val="FootnoteReference"/>
        </w:rPr>
        <w:footnoteReference w:id="2"/>
      </w:r>
      <w:r>
        <w:t xml:space="preserve">. </w:t>
      </w:r>
    </w:p>
    <w:p w14:paraId="7AA5706D" w14:textId="77777777" w:rsidR="00A82CB2" w:rsidRDefault="00000000">
      <w:pPr>
        <w:pStyle w:val="Heading3"/>
      </w:pPr>
      <w:bookmarkStart w:id="19" w:name="data-analysis-1"/>
      <w:bookmarkEnd w:id="18"/>
      <w:r>
        <w:t>Data Analysis</w:t>
      </w:r>
    </w:p>
    <w:p w14:paraId="37D6F671" w14:textId="77777777" w:rsidR="00A82CB2"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w:t>
      </w:r>
      <w:r>
        <w:rPr>
          <w:b/>
          <w:bCs/>
        </w:rPr>
        <w:t>Descriptive statistics were calculated for each cluster, and potential demographic differences were examined using independent-samples t-tests.</w:t>
      </w:r>
      <w:r>
        <w:t xml:space="preserve"> The convergent validity of the </w:t>
      </w:r>
      <w:r>
        <w:lastRenderedPageBreak/>
        <w:t>final set of items was assessed by computing the correlations between the Mint scale and the other interoception questionnaires (MAIA, BPQ, IAS).</w:t>
      </w:r>
    </w:p>
    <w:p w14:paraId="4CB915CE" w14:textId="77777777" w:rsidR="00A82CB2" w:rsidRDefault="00000000">
      <w:pPr>
        <w:pStyle w:val="BodyText"/>
      </w:pPr>
      <w:r>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738667FC" w14:textId="77777777" w:rsidR="00A82CB2"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06501AD2" w14:textId="77777777" w:rsidR="00A82CB2" w:rsidRDefault="00000000">
      <w:pPr>
        <w:pStyle w:val="BodyText"/>
      </w:pPr>
      <w:r>
        <w:t xml:space="preserve">In order to evaluate the potential for a short version of our scale, we compared 4 variants of the Mint: the (full) </w:t>
      </w:r>
      <w:r>
        <w:rPr>
          <w:i/>
          <w:iCs/>
        </w:rPr>
        <w:t>Mint</w:t>
      </w:r>
      <w:r>
        <w:t xml:space="preserve"> (including all lower-level dimensions), the </w:t>
      </w:r>
      <w:r>
        <w:rPr>
          <w:i/>
          <w:iCs/>
        </w:rPr>
        <w:t>metaMint</w:t>
      </w:r>
      <w:r>
        <w:t xml:space="preserve"> (only including the metaclusters), the </w:t>
      </w:r>
      <w:r>
        <w:rPr>
          <w:i/>
          <w:iCs/>
        </w:rPr>
        <w:t>miniMint</w:t>
      </w:r>
      <w:r>
        <w:t xml:space="preserve"> (including the metaclusters computed from a reduced number of items), and the </w:t>
      </w:r>
      <w:r>
        <w:rPr>
          <w:i/>
          <w:iCs/>
        </w:rPr>
        <w:t>microMint</w:t>
      </w:r>
      <w:r>
        <w:t xml:space="preserve"> (including only the most representative dimension of each metacluster). Moreover, we also included an alternative “interoception-focused” version of the </w:t>
      </w:r>
      <w:r>
        <w:lastRenderedPageBreak/>
        <w:t>MAIA (</w:t>
      </w:r>
      <w:r>
        <w:rPr>
          <w:i/>
          <w:iCs/>
        </w:rPr>
        <w:t>iMAIA</w:t>
      </w:r>
      <w:r>
        <w:t>) that only contains the 3 most interoceptive dimensions (Body Listening, Noticing, and Emotional Awareness)</w:t>
      </w:r>
      <w:r>
        <w:rPr>
          <w:rStyle w:val="FootnoteReference"/>
        </w:rPr>
        <w:footnoteReference w:id="3"/>
      </w:r>
      <w:r>
        <w:t>.</w:t>
      </w:r>
    </w:p>
    <w:p w14:paraId="4A21AFE6" w14:textId="77777777" w:rsidR="00A82CB2" w:rsidRDefault="00000000">
      <w:pPr>
        <w:pStyle w:val="Heading2"/>
      </w:pPr>
      <w:bookmarkStart w:id="20" w:name="results-1"/>
      <w:bookmarkEnd w:id="19"/>
      <w:r>
        <w:t>Results</w:t>
      </w:r>
    </w:p>
    <w:p w14:paraId="0965DA95" w14:textId="77777777" w:rsidR="00A82CB2"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In order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t>
      </w:r>
      <w:r>
        <w:lastRenderedPageBreak/>
        <w:t xml:space="preserve">with the </w:t>
      </w:r>
      <w:r>
        <w:rPr>
          <w:i/>
          <w:iCs/>
        </w:rPr>
        <w:t>CaCo</w:t>
      </w:r>
      <w:r>
        <w:t xml:space="preserve"> (Cardiorespiratory Confusion) cluster. </w:t>
      </w:r>
      <w:r>
        <w:rPr>
          <w:b/>
          <w:bCs/>
        </w:rPr>
        <w:t>Given our aim to develop a practically usable instrument and to align its length with other widely used and conceptually related measures discussed here, we considered a 45-item scale to be overly lengthy. This prompted a further evaluation of item redundancy, conceptual overlap, and face validity (e.g., Urointestinal Sensitivity items showed instability, and Sexual Organs Sensitivity items overlapped with Sexual Arousal Awareness items), leading to a reduction of the item pool to 33 items.</w:t>
      </w:r>
    </w:p>
    <w:p w14:paraId="1CFD7411" w14:textId="77777777" w:rsidR="00411195" w:rsidRDefault="00000000" w:rsidP="00411195">
      <w:pPr>
        <w:pStyle w:val="BodyText"/>
      </w:pPr>
      <w:r>
        <w:t>The final set of 33 items yielded a good fit (</w:t>
      </w:r>
      <w:r>
        <w:rPr>
          <w:b/>
          <w:bCs/>
        </w:rPr>
        <w:t>TEFI</w:t>
      </w:r>
      <w:r>
        <w:t xml:space="preserve">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w:t>
      </w:r>
      <w:r>
        <w:rPr>
          <w:b/>
          <w:bCs/>
        </w:rPr>
        <w:t xml:space="preserve">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b/>
            <w:bCs/>
          </w:rPr>
          <w:t>Figure 7</w:t>
        </w:r>
      </w:hyperlink>
      <w:r>
        <w:rPr>
          <w:b/>
          <w:bCs/>
        </w:rPr>
        <w:t xml:space="preserve"> presents gender differences across these clusters. The largest metacluster-level difference was observed for Interoceptive Awareness, whereas the largest lower-level difference was found for Cardiorespiratory Confusion.</w:t>
      </w:r>
      <w:r>
        <w:t xml:space="preserve"> Item centrality (intepretable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bookmarkStart w:id="21" w:name="Xb456d6bf455b25c483ba7ba53b1054d07a3f011"/>
      <w:bookmarkEnd w:id="17"/>
      <w:bookmarkEnd w:id="20"/>
    </w:p>
    <w:p w14:paraId="6ACB8F02" w14:textId="22B536A1" w:rsidR="00A82CB2" w:rsidRDefault="00000000" w:rsidP="00411195">
      <w:pPr>
        <w:pStyle w:val="BodyText"/>
      </w:pPr>
      <w:r>
        <w:rPr>
          <w:b/>
          <w:bCs/>
        </w:rPr>
        <w:t xml:space="preserve">The “Interoceptive Awareness” cluster refers to self-perceived awareness of specific bodily states and sensations, particularly those associated with distinct physiological </w:t>
      </w:r>
      <w:r>
        <w:rPr>
          <w:b/>
          <w:bCs/>
        </w:rPr>
        <w:lastRenderedPageBreak/>
        <w:t>conditions. In the present paper, we do not conceptualise awareness as the correspondence between behavioural measures of interoceptive accuracy and metacognitive insight, as proposed in the model of Garfinkel et al. (</w:t>
      </w:r>
      <w:hyperlink w:anchor="ref-garfinkel2015knowing">
        <w:r>
          <w:rPr>
            <w:rStyle w:val="Hyperlink"/>
            <w:b/>
            <w:bCs/>
          </w:rPr>
          <w:t>2015</w:t>
        </w:r>
      </w:hyperlink>
      <w:r>
        <w:rPr>
          <w:b/>
          <w:bCs/>
        </w:rPr>
        <w:t>); instead, we use the term more broadly to refer to general bodily states representations accessible to self-report. The items in this cluster therefore capture perceived awareness of bodily states such as relaxation (RelA), sensations associated with sexual arousal (SexS), and impending expulsive events (ExAc; e.g., burping, sneezing, or flatulence), reflecting an individual’s perceived ability to recognise these bodily states. The “Interoceptive Deficit” cluster reflects difficulties, uncertainty, or inaccuracies in recognising internal bodily signals. Items in this cluster capture experiences such as confusion about cardiorespiratory sensations (CaCo), uncertainty about urinary or gastrointestinal needs (UrIn), delayed recognition of hunger or thirst (Sati), contribution of external cues such as checking body odours (Olfa), and heightened sensitivity to dermal stimulation (Derm). Finally, “Visceroception” corresponds broadly to the concept of interoceptive sensibility described in Khalsa et al. (</w:t>
      </w:r>
      <w:hyperlink w:anchor="ref-khalsa2018interoception">
        <w:r>
          <w:rPr>
            <w:rStyle w:val="Hyperlink"/>
            <w:b/>
            <w:bCs/>
          </w:rPr>
          <w:t>2018</w:t>
        </w:r>
      </w:hyperlink>
      <w:r>
        <w:rPr>
          <w:b/>
          <w:bCs/>
        </w:rPr>
        <w:t>) model as the self-reported tendency to notice internal bodily sensations. In the present scale, this construct is specifically focused on sensations arising from three major visceral systems (i.e., cardiac, respiratory, and gastric). Accordingly, items assess perceived sensitivity to changes in heart activity (Card), breathing (Resp), and stomach sensations (Gast).</w:t>
      </w:r>
    </w:p>
    <w:p w14:paraId="1E3A32D2" w14:textId="77777777" w:rsidR="00A82CB2" w:rsidRDefault="00000000">
      <w:pPr>
        <w:pStyle w:val="BodyText"/>
      </w:pPr>
      <w:r>
        <w:rPr>
          <w:b/>
          <w:bCs/>
        </w:rPr>
        <w:t>Lastly, to complement EGA we performed factor analysis on the final set of 33 items. Factor retention was examined using FA with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rPr>
          <w:b/>
          <w:bCs/>
        </w:rPr>
        <w:t xml:space="preserve">) and explained only 30% of the variance. We therefore examined the next-best solution with nine factors, which demonstrated improved, though </w:t>
      </w:r>
      <w:r>
        <w:rPr>
          <w:b/>
          <w:bCs/>
        </w:rPr>
        <w:lastRenderedPageBreak/>
        <w:t>still suboptimal,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 and explained 56.88% of the total variance. This solution comprised eight factors with three items each (Gastrioception,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lower-level clusters identified in the final 33-item EGA solution, with the main difference being that all cardiorespiratory items loaded onto a single factor rather than forming separate clusters.</w:t>
      </w:r>
    </w:p>
    <w:p w14:paraId="093311E1" w14:textId="77777777" w:rsidR="00A82CB2" w:rsidRDefault="00000000">
      <w:pPr>
        <w:pStyle w:val="Heading3"/>
      </w:pPr>
      <w:bookmarkStart w:id="22" w:name="X682f02ccbbdac60a9c4545c5993f2db0824ab68"/>
      <w:bookmarkStart w:id="23" w:name="mint"/>
      <w:bookmarkEnd w:id="21"/>
      <w:r>
        <w:t>Mint</w:t>
      </w:r>
    </w:p>
    <w:p w14:paraId="074197C5" w14:textId="77777777" w:rsidR="00A82CB2" w:rsidRDefault="00000000">
      <w:pPr>
        <w:pStyle w:val="FirstParagraph"/>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7A68086D" w14:textId="77777777" w:rsidR="00A82CB2" w:rsidRDefault="00000000">
      <w:pPr>
        <w:pStyle w:val="Heading3"/>
      </w:pPr>
      <w:bookmarkStart w:id="24" w:name="interoception-questionnaires-1"/>
      <w:bookmarkEnd w:id="23"/>
      <w:r>
        <w:lastRenderedPageBreak/>
        <w:t>Interoception Questionnaires</w:t>
      </w:r>
    </w:p>
    <w:p w14:paraId="04182FB8" w14:textId="77777777" w:rsidR="00A82CB2" w:rsidRDefault="00000000">
      <w:pPr>
        <w:pStyle w:val="FirstParagraph"/>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2EEB4B89" w14:textId="77777777" w:rsidR="00A82CB2" w:rsidRDefault="00000000">
      <w:pPr>
        <w:pStyle w:val="Heading3"/>
      </w:pPr>
      <w:bookmarkStart w:id="25" w:name="emotions-and-cognition-1"/>
      <w:bookmarkEnd w:id="24"/>
      <w:r>
        <w:t>Emotions and Cognition</w:t>
      </w:r>
    </w:p>
    <w:p w14:paraId="13BD8843" w14:textId="77777777" w:rsidR="00A82CB2" w:rsidRDefault="00000000">
      <w:pPr>
        <w:pStyle w:val="FirstParagraph"/>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MAIA’s interoceptive dimensions, namely Noticing, Emotional Awareness and Body Listening). The only primal world belief that correlated particularly with the Mint’s </w:t>
      </w:r>
      <w:r>
        <w:rPr>
          <w:i/>
          <w:iCs/>
        </w:rPr>
        <w:t>Visceroception</w:t>
      </w:r>
      <w:r>
        <w:t xml:space="preserve"> and the </w:t>
      </w:r>
      <w:r>
        <w:lastRenderedPageBreak/>
        <w:t xml:space="preserve">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69211C5F" w14:textId="77777777" w:rsidR="00A82CB2"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w:t>
      </w:r>
      <w:r>
        <w:rPr>
          <w:b/>
          <w:bCs/>
        </w:rPr>
        <w:t xml:space="preserve">For example, </w:t>
      </w:r>
      <w:r>
        <w:rPr>
          <w:b/>
          <w:bCs/>
          <w:i/>
          <w:iCs/>
        </w:rPr>
        <w:t>Deficit</w:t>
      </w:r>
      <w:r>
        <w:rPr>
          <w:b/>
          <w:bCs/>
        </w:rP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Remaining model fits can be reviewed in the data analysis folder project’s GitHub repository.</w:t>
      </w:r>
    </w:p>
    <w:p w14:paraId="364A64E5" w14:textId="77777777" w:rsidR="00A82CB2" w:rsidRDefault="00000000">
      <w:pPr>
        <w:pStyle w:val="BodyText"/>
      </w:pPr>
      <w:r>
        <w:t xml:space="preserve">Model comparison included 4 variants of the Mint scale, the full </w:t>
      </w:r>
      <w:r>
        <w:rPr>
          <w:i/>
          <w:iCs/>
        </w:rPr>
        <w:t>Mint</w:t>
      </w:r>
      <w:r>
        <w:t xml:space="preserve"> (including all lower-level clusters - 33 items), the </w:t>
      </w:r>
      <w:r>
        <w:rPr>
          <w:i/>
          <w:iCs/>
        </w:rPr>
        <w:t>metaMint</w:t>
      </w:r>
      <w:r>
        <w:t xml:space="preserve"> (including only the 3 metaclusters based on all items), the </w:t>
      </w:r>
      <w:r>
        <w:rPr>
          <w:i/>
          <w:iCs/>
        </w:rPr>
        <w:t>miniMint</w:t>
      </w:r>
      <w:r>
        <w:t xml:space="preserve"> (including the 3 metaclusters computed from 2 of its most loading triplets - 18 items), and the </w:t>
      </w:r>
      <w:r>
        <w:rPr>
          <w:i/>
          <w:iCs/>
        </w:rPr>
        <w:t>microMint</w:t>
      </w:r>
      <w:r>
        <w:t xml:space="preserve"> (including only the most representative dimension of each metacluster - 9 items). This analysis confirmed the clear advantage for the Mint over the other interoception scales. The full </w:t>
      </w:r>
      <w:r>
        <w:rPr>
          <w:i/>
          <w:iCs/>
        </w:rPr>
        <w:t>Mint</w:t>
      </w:r>
      <w:r>
        <w:t xml:space="preserve"> model was typically the best model based on R2, and the </w:t>
      </w:r>
      <w:r>
        <w:rPr>
          <w:i/>
          <w:iCs/>
        </w:rPr>
        <w:t>metaMint</w:t>
      </w:r>
      <w:r>
        <w:t xml:space="preserve"> was the best model when parsimony was taken into account (i.e., based on BIC). Moreover, most of the instances were the </w:t>
      </w:r>
      <w:r>
        <w:rPr>
          <w:i/>
          <w:iCs/>
        </w:rPr>
        <w:t>MAIA</w:t>
      </w:r>
      <w:r>
        <w:t xml:space="preserve"> was the best model were explainable by the </w:t>
      </w:r>
      <w:r>
        <w:lastRenderedPageBreak/>
        <w:t xml:space="preserve">inclusion of Trusting, and the interoception-only version </w:t>
      </w:r>
      <w:r>
        <w:rPr>
          <w:i/>
          <w:iCs/>
        </w:rPr>
        <w:t>iMAIA</w:t>
      </w:r>
      <w:r>
        <w:t xml:space="preserve"> typically yielded worse performance than the Mint. In many instances, the </w:t>
      </w:r>
      <w:r>
        <w:rPr>
          <w:i/>
          <w:iCs/>
        </w:rPr>
        <w:t>miniMint</w:t>
      </w:r>
      <w:r>
        <w:t xml:space="preserve"> yielded reasonable performance, although the </w:t>
      </w:r>
      <w:r>
        <w:rPr>
          <w:i/>
          <w:iCs/>
        </w:rPr>
        <w:t>microMint</w:t>
      </w:r>
      <w:r>
        <w:t xml:space="preserve"> was typically less promising.</w:t>
      </w:r>
    </w:p>
    <w:p w14:paraId="5F0D6CBF" w14:textId="77777777" w:rsidR="00A82CB2" w:rsidRDefault="00000000">
      <w:pPr>
        <w:pStyle w:val="Heading3"/>
      </w:pPr>
      <w:bookmarkStart w:id="26" w:name="health-wellbeing-abd-lifestyle"/>
      <w:bookmarkEnd w:id="25"/>
      <w:r>
        <w:t>Health, Wellbeing abd Lifestyle</w:t>
      </w:r>
    </w:p>
    <w:p w14:paraId="2111C723" w14:textId="77777777" w:rsidR="00A82CB2" w:rsidRDefault="00000000">
      <w:pPr>
        <w:pStyle w:val="FirstParagraph"/>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which was best predicted by the </w:t>
      </w:r>
      <w:r>
        <w:rPr>
          <w:i/>
          <w:iCs/>
        </w:rPr>
        <w:t>MAIA</w:t>
      </w:r>
      <w:r>
        <w:t>).</w:t>
      </w:r>
    </w:p>
    <w:p w14:paraId="2B8A8548" w14:textId="25DB5B2D" w:rsidR="00A82CB2" w:rsidRDefault="00000000" w:rsidP="00411195">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rPr>
          <w:b/>
          <w:bCs/>
        </w:rPr>
        <w:t>)</w:t>
      </w:r>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rPr>
          <w:b/>
          <w:bCs/>
        </w:rPr>
        <w:t>)</w:t>
      </w:r>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bookmarkStart w:id="27" w:name="X8033f19104ca81e3bdc0ebe51ee580b7de6d858"/>
      <w:bookmarkEnd w:id="22"/>
      <w:bookmarkEnd w:id="26"/>
    </w:p>
    <w:p w14:paraId="7C27F631" w14:textId="77777777" w:rsidR="00A82CB2" w:rsidRDefault="00000000">
      <w:pPr>
        <w:pStyle w:val="Heading2"/>
      </w:pPr>
      <w:bookmarkStart w:id="28" w:name="discussion-1"/>
      <w:r>
        <w:t>Discussion</w:t>
      </w:r>
    </w:p>
    <w:p w14:paraId="241CAA3E" w14:textId="77777777" w:rsidR="00A82CB2" w:rsidRDefault="00000000">
      <w:pPr>
        <w:pStyle w:val="FirstParagraph"/>
      </w:pPr>
      <w:r>
        <w:t xml:space="preserve">Study 2 sought to formally </w:t>
      </w:r>
      <w:r>
        <w:rPr>
          <w:b/>
          <w:bCs/>
        </w:rPr>
        <w:t>evaluate the convergent and criterion validity of the Mint</w:t>
      </w:r>
      <w:r>
        <w:t xml:space="preserve"> in a large, independent sample, a crucial step for establishing the psychometric soundness and unique contribution of the scale for interoception research. This involved re-assessing its structure in a new sample and establishing its convergent and criterion validity against other existing interoception questionnaires. The analysis led to a final, refined 33-item Mint scale with </w:t>
      </w:r>
      <w:r>
        <w:lastRenderedPageBreak/>
        <w:t>a stable and theoretically coherent hierarchical structure, which demonstrated substantial predictive power across a range of outcomes.</w:t>
      </w:r>
    </w:p>
    <w:p w14:paraId="7ABBCA7C" w14:textId="77777777" w:rsidR="00A82CB2" w:rsidRDefault="00000000">
      <w:pPr>
        <w:pStyle w:val="BodyText"/>
      </w:pPr>
      <w:r>
        <w:t xml:space="preserve">Structure re-validation is an important step following item reduction since reducing a large item pool can alter the perceived meaning and relationships between the remaining items. For instance, a questionnaire with many items suggesting abnormality or pathology might influence the interpretation of otherwise neutral items. While the original structure of the Mint was mostly replicated, the re-validation facilitated the clarification of several higher-order dimensions (e.g., the “Sensitivity” metacluster became more clearly defined around core interoceptive clusters). The final Mint structure, comprising 11 facets within 3 metaclusters, yielded excellent structural consistency and stability. The </w:t>
      </w:r>
      <w:r>
        <w:rPr>
          <w:i/>
          <w:iCs/>
        </w:rPr>
        <w:t>Olfa</w:t>
      </w:r>
      <w:r>
        <w:t xml:space="preserve"> (Olfactory Contribution) cluster had lower stability within the </w:t>
      </w:r>
      <w:r>
        <w:rPr>
          <w:i/>
          <w:iCs/>
        </w:rPr>
        <w:t>Deficit</w:t>
      </w:r>
      <w:r>
        <w:t xml:space="preserve"> metacluster, possibly indicative of a more complex role. For instance, this cluster could be related to adaptive compensatory processes in some participants and maladaptive strategies in others. Future studies should further investigate its place and invariance across different populations and contexts.</w:t>
      </w:r>
    </w:p>
    <w:p w14:paraId="1153FF92" w14:textId="77777777" w:rsidR="00A82CB2" w:rsidRDefault="00000000">
      <w:pPr>
        <w:pStyle w:val="BodyText"/>
      </w:pPr>
      <w:r>
        <w:t xml:space="preserve">The criterion validity analysis revealed a clear and compelling pattern of results. The Mint scale, particularly its </w:t>
      </w:r>
      <w:r>
        <w:rPr>
          <w:i/>
          <w:iCs/>
        </w:rPr>
        <w:t>Deficit</w:t>
      </w:r>
      <w:r>
        <w:t xml:space="preserve"> metacluster, consistently outperformed existing interoceptive scales in predicting outcomes directly related to alterations in bodily experience and self-regulation, including alexithymia, dissociative experiences, ADHD, autism, and various somatic symptoms. The MAIA-2 showed an advantage over the Mint for predicting outcomes related to general well-being (e.g., life satisfaction, depression, and anxiety). However, its predictive superiority was almost entirely driven by dimensions related to emotion regulation abilities, namely </w:t>
      </w:r>
      <w:r>
        <w:rPr>
          <w:i/>
          <w:iCs/>
        </w:rPr>
        <w:t>Trusting</w:t>
      </w:r>
      <w:r>
        <w:t xml:space="preserve"> and </w:t>
      </w:r>
      <w:r>
        <w:rPr>
          <w:i/>
          <w:iCs/>
        </w:rPr>
        <w:t>Not-Worrying</w:t>
      </w:r>
      <w:r>
        <w:t>, whose inclusion as core interoceptive facets have been questioned (</w:t>
      </w:r>
      <w:hyperlink w:anchor="ref-ferentzi2021examining">
        <w:r>
          <w:rPr>
            <w:rStyle w:val="Hyperlink"/>
          </w:rPr>
          <w:t>Ferentzi et al., 2021</w:t>
        </w:r>
      </w:hyperlink>
      <w:r>
        <w:t xml:space="preserve">). While valuable, the MAIA-2’s most predictive subscales </w:t>
      </w:r>
      <w:r>
        <w:lastRenderedPageBreak/>
        <w:t>appear less related to core interoceptive processing and more to metacognitive beliefs about one’s body and emotional coping.</w:t>
      </w:r>
    </w:p>
    <w:p w14:paraId="5E8035B7" w14:textId="77777777" w:rsidR="00A82CB2" w:rsidRDefault="00000000">
      <w:pPr>
        <w:pStyle w:val="BodyText"/>
      </w:pPr>
      <w:r>
        <w:t xml:space="preserve">The Mint, in contrast, appears to tap more directly into distinct facets of interoceptive experience, from visceral sensitivity to perceived deficits. Indeed, when the emotion-regulation dimensions were removed (in the </w:t>
      </w:r>
      <w:r>
        <w:rPr>
          <w:i/>
          <w:iCs/>
        </w:rPr>
        <w:t>iMAIA</w:t>
      </w:r>
      <w:r>
        <w:t xml:space="preserve"> version), the MAIA-2’s predictive power for well-being outcomes dropped considerably, often below that of the Mint. Overall, for high-level, metacognitive aspects of affective state and well-being, the MAIA-2’s emotion regulation facets are highly informative. For outcomes tied more specifically to bodily processes, clinical conditions characterised by sensory dysregulation, and nuanced interoceptive experiences, the Mint offers superior predictive validity and specificity.</w:t>
      </w:r>
    </w:p>
    <w:p w14:paraId="779997BA" w14:textId="77777777" w:rsidR="00A82CB2" w:rsidRDefault="00000000">
      <w:pPr>
        <w:pStyle w:val="Heading1"/>
      </w:pPr>
      <w:bookmarkStart w:id="29" w:name="general-discussion"/>
      <w:bookmarkEnd w:id="27"/>
      <w:bookmarkEnd w:id="28"/>
      <w:r>
        <w:t>General Discussion</w:t>
      </w:r>
    </w:p>
    <w:p w14:paraId="5A5EAA23" w14:textId="77777777" w:rsidR="00A82CB2" w:rsidRDefault="00000000">
      <w:pPr>
        <w:pStyle w:val="FirstParagraph"/>
      </w:pPr>
      <w:r>
        <w:t xml:space="preserve">Across two studies, we developed and </w:t>
      </w:r>
      <w:r>
        <w:rPr>
          <w:b/>
          <w:bCs/>
        </w:rPr>
        <w:t>assessed the convergent and criterion validity</w:t>
      </w:r>
      <w:r>
        <w:t xml:space="preserve">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The Mint is a psychometrically robust instrument with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rPr>
          <w:b/>
          <w:bCs/>
        </w:rPr>
        <w:t>demonstrated that the Mint not only captures variance present in other popular scales (MAIA-2, BPQ and IAS)</w:t>
      </w:r>
      <w:r>
        <w:t xml:space="preserve"> but also offers superior predictive power for a range of clinical and cognitive outcomes, particularly those tied to altered bodily perception.</w:t>
      </w:r>
    </w:p>
    <w:p w14:paraId="7CB1EC62" w14:textId="77777777" w:rsidR="00A82CB2" w:rsidRDefault="00000000">
      <w:pPr>
        <w:pStyle w:val="BodyText"/>
      </w:pPr>
      <w:r>
        <w:t xml:space="preserve">A key advantage of the Mint is its potential ability to disentangle core interoceptive experiences from more general emotion regulation abilities, an identified problem in </w:t>
      </w:r>
      <w:r>
        <w:lastRenderedPageBreak/>
        <w:t>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w:t>
      </w:r>
      <w:r>
        <w:rPr>
          <w:b/>
          <w:bCs/>
        </w:rPr>
        <w:t>In particular, the multidimensional structure of the Mint may allow future work to identify distinct interoceptive profiles, rather than assuming that individuals vary along a single continuum of interoceptive ability.</w:t>
      </w:r>
    </w:p>
    <w:p w14:paraId="50C66C7A" w14:textId="77777777" w:rsidR="00A82CB2" w:rsidRDefault="00000000">
      <w:pPr>
        <w:pStyle w:val="BodyText"/>
      </w:pPr>
      <w:r>
        <w:t xml:space="preserve">We note several limitations that could serve as the impetus for future research efforts. First,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Second, future research could systematically examine the usefulness of shorter versions of the Mint, for example, by investigating the tradeoffs incurred by versions with only the one or two most central facets per metacluster on psychometric qualities and predictive power. </w:t>
      </w:r>
      <w:r>
        <w:rPr>
          <w:b/>
          <w:bCs/>
        </w:rPr>
        <w:t xml:space="preserve">Thirdly, although the final version of the MINT provides broader coverage of interoceptive domains than many existing alternatives, it remains non-exhaustive. In particular, several theoretically relevant content areas were not retained in </w:t>
      </w:r>
      <w:r>
        <w:rPr>
          <w:b/>
          <w:bCs/>
        </w:rPr>
        <w:lastRenderedPageBreak/>
        <w:t>the final item set, including sexual arousal state awareness, sexual arousal physiological changes (e.g., cardiac, respiratory, and thermoregulatory changes), interoceptive signalling items (e.g., noticing bodily changes during personally salient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673C6E57" w14:textId="77777777" w:rsidR="00A82CB2" w:rsidRDefault="00000000">
      <w:pPr>
        <w:pStyle w:val="BodyText"/>
      </w:pPr>
      <w:r>
        <w:rPr>
          <w:b/>
          <w:bCs/>
        </w:rP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b/>
            <w:bCs/>
          </w:rPr>
          <w:t>Ma-Kellams et al., 2024</w:t>
        </w:r>
      </w:hyperlink>
      <w:r>
        <w:rPr>
          <w:b/>
          <w:bCs/>
        </w:rPr>
        <w:t>). For example, the Japanese validation of the MAIA-2 (</w:t>
      </w:r>
      <w:hyperlink w:anchor="ref-shoji2018investigating">
        <w:r>
          <w:rPr>
            <w:rStyle w:val="Hyperlink"/>
            <w:b/>
            <w:bCs/>
          </w:rPr>
          <w:t>Shoji et al., 2018</w:t>
        </w:r>
      </w:hyperlink>
      <w:r>
        <w:rPr>
          <w:b/>
          <w:bCs/>
        </w:rP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b/>
            <w:bCs/>
          </w:rPr>
          <w:t>Freedman et al., 2021</w:t>
        </w:r>
      </w:hyperlink>
      <w:r>
        <w:rPr>
          <w:b/>
          <w:bCs/>
        </w:rP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b/>
            <w:bCs/>
          </w:rPr>
          <w:t>Lin et al., 2023</w:t>
        </w:r>
      </w:hyperlink>
      <w:r>
        <w:rPr>
          <w:b/>
          <w:bCs/>
        </w:rPr>
        <w:t>) IAS validation. These findings suggest that the MINT’s metacluster organisation may partly reflect Western norms of bodily reporting. Future research should therefore formally test measurement invariance across culturally diverse samples to determine whether the identified clusters are structurally stable or culturally contingent.</w:t>
      </w:r>
    </w:p>
    <w:p w14:paraId="146200A3" w14:textId="77777777" w:rsidR="00A82CB2" w:rsidRDefault="00000000">
      <w:pPr>
        <w:pStyle w:val="BodyText"/>
      </w:pPr>
      <w:r>
        <w:lastRenderedPageBreak/>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0EBF1874" w14:textId="77777777" w:rsidR="00A82CB2" w:rsidRDefault="00000000">
      <w:pPr>
        <w:pStyle w:val="BodyText"/>
      </w:pPr>
      <w:r>
        <w:t xml:space="preserve">In conclusion, the Mint scale represents a fresh take on interoception questionnaires and a significant methodological advancement for the field of interoception research. By providing a structurally coherent, nuanced tool </w:t>
      </w:r>
      <w:r>
        <w:rPr>
          <w:b/>
          <w:bCs/>
        </w:rPr>
        <w:t>with strong convergent and criterion validity</w:t>
      </w:r>
      <w:r>
        <w:t>, it allows for a more precise assessment of self-reported interoceptive experiences, paving the way for a deeper understanding of the multifaceted role of interoception in human psychology and pathophysiology.</w:t>
      </w:r>
    </w:p>
    <w:p w14:paraId="5419C633" w14:textId="77777777" w:rsidR="00A82CB2" w:rsidRDefault="00000000">
      <w:pPr>
        <w:pStyle w:val="Heading1"/>
      </w:pPr>
      <w:bookmarkStart w:id="30" w:name="data-availability"/>
      <w:bookmarkEnd w:id="29"/>
      <w:r>
        <w:t>Data Availability</w:t>
      </w:r>
    </w:p>
    <w:p w14:paraId="7BD564DF" w14:textId="77777777" w:rsidR="00A82CB2" w:rsidRDefault="00000000">
      <w:pPr>
        <w:pStyle w:val="FirstParagraph"/>
      </w:pPr>
      <w:r>
        <w:t xml:space="preserve">Data, code, and all materials are available at </w:t>
      </w:r>
      <w:r>
        <w:rPr>
          <w:i/>
          <w:iCs/>
        </w:rPr>
        <w:t>[MASKED FOR REVIEW]</w:t>
      </w:r>
      <w:r>
        <w:t xml:space="preserve">. </w:t>
      </w:r>
    </w:p>
    <w:p w14:paraId="448BB0C1" w14:textId="77777777" w:rsidR="00A82CB2" w:rsidRDefault="00000000">
      <w:pPr>
        <w:pStyle w:val="Heading1"/>
      </w:pPr>
      <w:bookmarkStart w:id="31" w:name="references"/>
      <w:bookmarkEnd w:id="30"/>
      <w:r>
        <w:lastRenderedPageBreak/>
        <w:t>References</w:t>
      </w:r>
    </w:p>
    <w:p w14:paraId="3E08ABC3" w14:textId="77777777" w:rsidR="00A82CB2" w:rsidRDefault="00000000">
      <w:pPr>
        <w:pStyle w:val="Bibliography"/>
      </w:pPr>
      <w:bookmarkStart w:id="32" w:name="ref-bogaerts2022interoceptive"/>
      <w:bookmarkStart w:id="33"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6DB234E6" w14:textId="77777777" w:rsidR="00A82CB2" w:rsidRDefault="00000000">
      <w:pPr>
        <w:pStyle w:val="Bibliography"/>
      </w:pPr>
      <w:bookmarkStart w:id="34" w:name="ref-Brewer2016"/>
      <w:bookmarkEnd w:id="32"/>
      <w:r>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68A44C52" w14:textId="77777777" w:rsidR="00A82CB2" w:rsidRDefault="00000000">
      <w:pPr>
        <w:pStyle w:val="Bibliography"/>
      </w:pPr>
      <w:bookmarkStart w:id="35" w:name="ref-cabrera2018assessing"/>
      <w:bookmarkEnd w:id="34"/>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0210CDDE" w14:textId="77777777" w:rsidR="00A82CB2" w:rsidRDefault="00000000">
      <w:pPr>
        <w:pStyle w:val="Bibliography"/>
      </w:pPr>
      <w:bookmarkStart w:id="36" w:name="ref-vcernis2024measuring"/>
      <w:bookmarkEnd w:id="35"/>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59B67C96" w14:textId="77777777" w:rsidR="00A82CB2" w:rsidRDefault="00000000">
      <w:pPr>
        <w:pStyle w:val="Bibliography"/>
      </w:pPr>
      <w:bookmarkStart w:id="37" w:name="ref-christensen2023unique"/>
      <w:bookmarkEnd w:id="36"/>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48D67683" w14:textId="77777777" w:rsidR="00A82CB2" w:rsidRDefault="00000000">
      <w:pPr>
        <w:pStyle w:val="Bibliography"/>
      </w:pPr>
      <w:bookmarkStart w:id="38" w:name="ref-christensen2021estimating"/>
      <w:bookmarkEnd w:id="37"/>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668D5F45" w14:textId="77777777" w:rsidR="00A82CB2" w:rsidRDefault="00000000">
      <w:pPr>
        <w:pStyle w:val="Bibliography"/>
      </w:pPr>
      <w:bookmarkStart w:id="39" w:name="ref-christensen2021equivalency"/>
      <w:bookmarkEnd w:id="38"/>
      <w:r>
        <w:t xml:space="preserve">Christensen, A. P., &amp; Golino, H. (2021b). On the equivalency of factor and network loadings. </w:t>
      </w:r>
      <w:r>
        <w:rPr>
          <w:i/>
          <w:iCs/>
        </w:rPr>
        <w:t>Behavior Research Methods</w:t>
      </w:r>
      <w:r>
        <w:t xml:space="preserve">, </w:t>
      </w:r>
      <w:r>
        <w:rPr>
          <w:i/>
          <w:iCs/>
        </w:rPr>
        <w:t>53</w:t>
      </w:r>
      <w:r>
        <w:t>(4), 1563–1580.</w:t>
      </w:r>
    </w:p>
    <w:p w14:paraId="588CD88B" w14:textId="77777777" w:rsidR="00A82CB2" w:rsidRDefault="00000000">
      <w:pPr>
        <w:pStyle w:val="Bibliography"/>
      </w:pPr>
      <w:bookmarkStart w:id="40" w:name="ref-christensen2020psychometric"/>
      <w:bookmarkEnd w:id="39"/>
      <w:r>
        <w:lastRenderedPageBreak/>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2E5C3DB7" w14:textId="77777777" w:rsidR="00A82CB2" w:rsidRDefault="00000000">
      <w:pPr>
        <w:pStyle w:val="Bibliography"/>
      </w:pPr>
      <w:bookmarkStart w:id="41" w:name="ref-clifton2021brief"/>
      <w:bookmarkEnd w:id="40"/>
      <w:r>
        <w:t xml:space="preserve">Clifton, J. D., &amp; Yaden, D. B. (2021). Brief measures of the four highest-order primal world beliefs. </w:t>
      </w:r>
      <w:r>
        <w:rPr>
          <w:i/>
          <w:iCs/>
        </w:rPr>
        <w:t>Psychological Assessment</w:t>
      </w:r>
      <w:r>
        <w:t xml:space="preserve">, </w:t>
      </w:r>
      <w:r>
        <w:rPr>
          <w:i/>
          <w:iCs/>
        </w:rPr>
        <w:t>33</w:t>
      </w:r>
      <w:r>
        <w:t>(12), 1267.</w:t>
      </w:r>
    </w:p>
    <w:p w14:paraId="23B85A91" w14:textId="77777777" w:rsidR="00A82CB2" w:rsidRDefault="00000000">
      <w:pPr>
        <w:pStyle w:val="Bibliography"/>
      </w:pPr>
      <w:bookmarkStart w:id="42" w:name="ref-craig2002how"/>
      <w:bookmarkEnd w:id="41"/>
      <w:r>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72773248" w14:textId="77777777" w:rsidR="00A82CB2" w:rsidRDefault="00000000">
      <w:pPr>
        <w:pStyle w:val="Bibliography"/>
      </w:pPr>
      <w:bookmarkStart w:id="43" w:name="ref-craig2003interoception"/>
      <w:bookmarkEnd w:id="42"/>
      <w:r>
        <w:t xml:space="preserve">Craig, A. D. (2003). Interoception: The sense of the physiological condition of the body. </w:t>
      </w:r>
      <w:r>
        <w:rPr>
          <w:i/>
          <w:iCs/>
        </w:rPr>
        <w:t>Current Opinion in Neurobiology</w:t>
      </w:r>
      <w:r>
        <w:t xml:space="preserve">, </w:t>
      </w:r>
      <w:r>
        <w:rPr>
          <w:i/>
          <w:iCs/>
        </w:rPr>
        <w:t>13</w:t>
      </w:r>
      <w:r>
        <w:t>(4), 500–505.</w:t>
      </w:r>
    </w:p>
    <w:p w14:paraId="61D0EA8B" w14:textId="77777777" w:rsidR="00A82CB2" w:rsidRPr="00A3476F" w:rsidRDefault="00000000">
      <w:pPr>
        <w:pStyle w:val="Bibliography"/>
        <w:rPr>
          <w:lang w:val="de-DE"/>
        </w:rPr>
      </w:pPr>
      <w:bookmarkStart w:id="44" w:name="ref-critchley2017interoception"/>
      <w:bookmarkEnd w:id="43"/>
      <w:r>
        <w:t xml:space="preserve">Critchley, H. D., &amp; Garfinkel, S. N. (2017). Interoception and emotion. </w:t>
      </w:r>
      <w:r>
        <w:rPr>
          <w:i/>
          <w:iCs/>
        </w:rPr>
        <w:t>Current Opinion in Psychology</w:t>
      </w:r>
      <w:r>
        <w:t xml:space="preserve">, </w:t>
      </w:r>
      <w:r>
        <w:rPr>
          <w:i/>
          <w:iCs/>
        </w:rPr>
        <w:t>17</w:t>
      </w:r>
      <w:r>
        <w:t xml:space="preserve">, 7–14. </w:t>
      </w:r>
      <w:hyperlink r:id="rId9">
        <w:r w:rsidRPr="00A3476F">
          <w:rPr>
            <w:rStyle w:val="Hyperlink"/>
            <w:lang w:val="de-DE"/>
          </w:rPr>
          <w:t>https://doi.org/10.1016/j.copsyc.2017.04.020</w:t>
        </w:r>
      </w:hyperlink>
    </w:p>
    <w:p w14:paraId="26C2B00A" w14:textId="77777777" w:rsidR="00A82CB2" w:rsidRDefault="00000000">
      <w:pPr>
        <w:pStyle w:val="Bibliography"/>
      </w:pPr>
      <w:bookmarkStart w:id="45" w:name="ref-crucianelli2023role"/>
      <w:bookmarkEnd w:id="44"/>
      <w:proofErr w:type="spellStart"/>
      <w:r w:rsidRPr="00A3476F">
        <w:rPr>
          <w:lang w:val="de-DE"/>
        </w:rPr>
        <w:t>Crucianelli</w:t>
      </w:r>
      <w:proofErr w:type="spellEnd"/>
      <w:r w:rsidRPr="00A3476F">
        <w:rPr>
          <w:lang w:val="de-DE"/>
        </w:rPr>
        <w:t xml:space="preserve">, L., &amp; </w:t>
      </w:r>
      <w:proofErr w:type="spellStart"/>
      <w:r w:rsidRPr="00A3476F">
        <w:rPr>
          <w:lang w:val="de-DE"/>
        </w:rPr>
        <w:t>Ehrsson</w:t>
      </w:r>
      <w:proofErr w:type="spellEnd"/>
      <w:r w:rsidRPr="00A3476F">
        <w:rPr>
          <w:lang w:val="de-DE"/>
        </w:rPr>
        <w:t xml:space="preserve">, H. H. (2023). </w:t>
      </w:r>
      <w:r>
        <w:t xml:space="preserve">The role of the skin in interoception: A neglected organ? </w:t>
      </w:r>
      <w:r>
        <w:rPr>
          <w:i/>
          <w:iCs/>
        </w:rPr>
        <w:t>Perspectives on Psychological Science</w:t>
      </w:r>
      <w:r>
        <w:t xml:space="preserve">, </w:t>
      </w:r>
      <w:r>
        <w:rPr>
          <w:i/>
          <w:iCs/>
        </w:rPr>
        <w:t>18</w:t>
      </w:r>
      <w:r>
        <w:t>(1), 224–238.</w:t>
      </w:r>
    </w:p>
    <w:p w14:paraId="15E8256F" w14:textId="77777777" w:rsidR="00A82CB2" w:rsidRDefault="00000000">
      <w:pPr>
        <w:pStyle w:val="Bibliography"/>
      </w:pPr>
      <w:bookmarkStart w:id="46" w:name="ref-de2015jspsych"/>
      <w:bookmarkEnd w:id="45"/>
      <w:r>
        <w:t xml:space="preserve">De Leeuw, J. R. (2015). jsPsych: A JavaScript library for creating behavioral experiments in a web browser. </w:t>
      </w:r>
      <w:r>
        <w:rPr>
          <w:i/>
          <w:iCs/>
        </w:rPr>
        <w:t>Behavior Research Methods</w:t>
      </w:r>
      <w:r>
        <w:t xml:space="preserve">, </w:t>
      </w:r>
      <w:r>
        <w:rPr>
          <w:i/>
          <w:iCs/>
        </w:rPr>
        <w:t>47</w:t>
      </w:r>
      <w:r>
        <w:t>, 1–12.</w:t>
      </w:r>
    </w:p>
    <w:p w14:paraId="05F0D6D7" w14:textId="77777777" w:rsidR="00A82CB2" w:rsidRPr="00A3476F" w:rsidRDefault="00000000">
      <w:pPr>
        <w:pStyle w:val="Bibliography"/>
        <w:rPr>
          <w:lang w:val="fr-FR"/>
        </w:rPr>
      </w:pPr>
      <w:bookmarkStart w:id="47" w:name="ref-desmedt2022measures"/>
      <w:bookmarkEnd w:id="46"/>
      <w:r>
        <w:t xml:space="preserve">Desmedt, O., Heeren, A., Corneille, O., &amp; Luminet, O. (2022). What do measures of self-report interoception measure? Insights from a systematic review, latent factor analysis, and network approach. </w:t>
      </w:r>
      <w:proofErr w:type="spellStart"/>
      <w:r w:rsidRPr="00A3476F">
        <w:rPr>
          <w:i/>
          <w:iCs/>
          <w:lang w:val="fr-FR"/>
        </w:rPr>
        <w:t>Biological</w:t>
      </w:r>
      <w:proofErr w:type="spellEnd"/>
      <w:r w:rsidRPr="00A3476F">
        <w:rPr>
          <w:i/>
          <w:iCs/>
          <w:lang w:val="fr-FR"/>
        </w:rPr>
        <w:t xml:space="preserve"> Psychology</w:t>
      </w:r>
      <w:r w:rsidRPr="00A3476F">
        <w:rPr>
          <w:lang w:val="fr-FR"/>
        </w:rPr>
        <w:t xml:space="preserve">, </w:t>
      </w:r>
      <w:r w:rsidRPr="00A3476F">
        <w:rPr>
          <w:i/>
          <w:iCs/>
          <w:lang w:val="fr-FR"/>
        </w:rPr>
        <w:t>169</w:t>
      </w:r>
      <w:r w:rsidRPr="00A3476F">
        <w:rPr>
          <w:lang w:val="fr-FR"/>
        </w:rPr>
        <w:t>, 108289.</w:t>
      </w:r>
    </w:p>
    <w:p w14:paraId="036E9C79" w14:textId="77777777" w:rsidR="00A82CB2" w:rsidRDefault="00000000">
      <w:pPr>
        <w:pStyle w:val="Bibliography"/>
      </w:pPr>
      <w:bookmarkStart w:id="48" w:name="ref-desmedt2025discrepancies"/>
      <w:bookmarkEnd w:id="47"/>
      <w:r w:rsidRPr="00A3476F">
        <w:rPr>
          <w:lang w:val="fr-FR"/>
        </w:rPr>
        <w:t xml:space="preserve">Desmedt, O., Luminet, O., Maurage, P., &amp; Corneille, O. (2025). </w:t>
      </w:r>
      <w:r>
        <w:t xml:space="preserve">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4575816F" w14:textId="77777777" w:rsidR="00A82CB2" w:rsidRDefault="00000000">
      <w:pPr>
        <w:pStyle w:val="Bibliography"/>
      </w:pPr>
      <w:bookmarkStart w:id="49" w:name="ref-di2016alexithymia"/>
      <w:bookmarkEnd w:id="48"/>
      <w:r>
        <w:t xml:space="preserve">Di Tella, M., &amp; Castelli, L. (2016). Alexithymia in chronic pain disorders. </w:t>
      </w:r>
      <w:r>
        <w:rPr>
          <w:i/>
          <w:iCs/>
        </w:rPr>
        <w:t>Current Rheumatology Reports</w:t>
      </w:r>
      <w:r>
        <w:t xml:space="preserve">, </w:t>
      </w:r>
      <w:r>
        <w:rPr>
          <w:i/>
          <w:iCs/>
        </w:rPr>
        <w:t>18</w:t>
      </w:r>
      <w:r>
        <w:t>(7), 41.</w:t>
      </w:r>
    </w:p>
    <w:p w14:paraId="47F350FF" w14:textId="77777777" w:rsidR="00A82CB2" w:rsidRDefault="00000000">
      <w:pPr>
        <w:pStyle w:val="Bibliography"/>
      </w:pPr>
      <w:bookmarkStart w:id="50" w:name="ref-epskamp2018network"/>
      <w:bookmarkEnd w:id="49"/>
      <w:r>
        <w:lastRenderedPageBreak/>
        <w:t xml:space="preserve">Epskamp, S., Maris, G., Waldorp, L. J., &amp; Borsboom, D. (2018). Network psychometrics. </w:t>
      </w:r>
      <w:r>
        <w:rPr>
          <w:i/>
          <w:iCs/>
        </w:rPr>
        <w:t>The Wiley Handbook of Psychometric Testing: A Multidisciplinary Reference on Survey, Scale and Test Development</w:t>
      </w:r>
      <w:r>
        <w:t>, 953–986.</w:t>
      </w:r>
    </w:p>
    <w:p w14:paraId="5C772006" w14:textId="77777777" w:rsidR="00A82CB2" w:rsidRDefault="00000000">
      <w:pPr>
        <w:pStyle w:val="Bibliography"/>
      </w:pPr>
      <w:bookmarkStart w:id="51" w:name="ref-ferentzi2021examining"/>
      <w:bookmarkEnd w:id="50"/>
      <w:r w:rsidRPr="00A3476F">
        <w:rPr>
          <w:lang w:val="de-DE"/>
        </w:rPr>
        <w:t xml:space="preserve">Ferentzi, E., Olaru, G., Geiger, M., Vig, L., Köteles, F., &amp; Wilhelm, O. (2021). </w:t>
      </w:r>
      <w:r>
        <w:t xml:space="preserve">Examining the factor structure and validity of the multidimensional assessment of interoceptive awareness. </w:t>
      </w:r>
      <w:r>
        <w:rPr>
          <w:i/>
          <w:iCs/>
        </w:rPr>
        <w:t>Journal of Personality Assessment</w:t>
      </w:r>
      <w:r>
        <w:t xml:space="preserve">, </w:t>
      </w:r>
      <w:r>
        <w:rPr>
          <w:i/>
          <w:iCs/>
        </w:rPr>
        <w:t>103</w:t>
      </w:r>
      <w:r>
        <w:t>(5), 675–684.</w:t>
      </w:r>
    </w:p>
    <w:p w14:paraId="61147AC4" w14:textId="77777777" w:rsidR="00A82CB2" w:rsidRDefault="00000000">
      <w:pPr>
        <w:pStyle w:val="Bibliography"/>
      </w:pPr>
      <w:bookmarkStart w:id="52" w:name="ref-freedman2021similarities"/>
      <w:bookmarkEnd w:id="51"/>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69B6A351" w14:textId="77777777" w:rsidR="00A82CB2" w:rsidRDefault="00000000">
      <w:pPr>
        <w:pStyle w:val="Bibliography"/>
      </w:pPr>
      <w:bookmarkStart w:id="53" w:name="ref-friedman2008sparse"/>
      <w:bookmarkEnd w:id="52"/>
      <w:r>
        <w:t xml:space="preserve">Friedman, J., Hastie, T., &amp; Tibshirani, R. (2008). Sparse inverse covariance estimation with the graphical lasso. </w:t>
      </w:r>
      <w:r>
        <w:rPr>
          <w:i/>
          <w:iCs/>
        </w:rPr>
        <w:t>Biostatistics</w:t>
      </w:r>
      <w:r>
        <w:t xml:space="preserve">, </w:t>
      </w:r>
      <w:r>
        <w:rPr>
          <w:i/>
          <w:iCs/>
        </w:rPr>
        <w:t>9</w:t>
      </w:r>
      <w:r>
        <w:t>(3), 432–441.</w:t>
      </w:r>
    </w:p>
    <w:p w14:paraId="1EA44CC5" w14:textId="77777777" w:rsidR="00A82CB2" w:rsidRDefault="00000000">
      <w:pPr>
        <w:pStyle w:val="Bibliography"/>
      </w:pPr>
      <w:bookmarkStart w:id="54" w:name="ref-GABRIELE2022108243"/>
      <w:bookmarkEnd w:id="53"/>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2021DC16" w14:textId="77777777" w:rsidR="00A82CB2" w:rsidRDefault="00000000">
      <w:pPr>
        <w:pStyle w:val="Bibliography"/>
      </w:pPr>
      <w:bookmarkStart w:id="55" w:name="ref-garfinkel2015knowing"/>
      <w:bookmarkEnd w:id="54"/>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Pr>
            <w:rStyle w:val="Hyperlink"/>
          </w:rPr>
          <w:t>https://doi.org/10.1016/j.biopsycho.2014.11.004</w:t>
        </w:r>
      </w:hyperlink>
    </w:p>
    <w:p w14:paraId="4E050C83" w14:textId="77777777" w:rsidR="00A82CB2" w:rsidRDefault="00000000">
      <w:pPr>
        <w:pStyle w:val="Bibliography"/>
      </w:pPr>
      <w:bookmarkStart w:id="56" w:name="ref-garnefski2006cognitive"/>
      <w:bookmarkEnd w:id="55"/>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32BDD33C" w14:textId="77777777" w:rsidR="00A82CB2" w:rsidRDefault="00000000">
      <w:pPr>
        <w:pStyle w:val="Bibliography"/>
      </w:pPr>
      <w:bookmarkStart w:id="57" w:name="ref-golino2017exploratory"/>
      <w:bookmarkEnd w:id="56"/>
      <w:r>
        <w:lastRenderedPageBreak/>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375D6FE0" w14:textId="77777777" w:rsidR="00A82CB2" w:rsidRDefault="00000000">
      <w:pPr>
        <w:pStyle w:val="Bibliography"/>
      </w:pPr>
      <w:bookmarkStart w:id="58" w:name="ref-Golino02112021"/>
      <w:bookmarkEnd w:id="57"/>
      <w:r>
        <w:t xml:space="preserve">Golino, H., Moulder, R., Shi, D., Christensen, A. P., Garrido, L. E., Nieto, M. D., Nesselroade, J., Sadana, R., Thiyagarajan, J. A., &amp; Boker, S. M. (2021). Entropy fit indices: New fit 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1699BE5E" w14:textId="77777777" w:rsidR="00A82CB2" w:rsidRDefault="00000000">
      <w:pPr>
        <w:pStyle w:val="Bibliography"/>
      </w:pPr>
      <w:bookmarkStart w:id="59" w:name="ref-golino2020investigating"/>
      <w:bookmarkEnd w:id="58"/>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2328D565" w14:textId="77777777" w:rsidR="00A82CB2" w:rsidRDefault="00000000">
      <w:pPr>
        <w:pStyle w:val="Bibliography"/>
      </w:pPr>
      <w:bookmarkStart w:id="60" w:name="ref-indahl2018similarity"/>
      <w:bookmarkEnd w:id="59"/>
      <w:r>
        <w:t xml:space="preserve">Indahl, U. G., Næs, T., &amp; Liland, K. H. (2018). A similarity index for comparing coupled matrices. </w:t>
      </w:r>
      <w:r>
        <w:rPr>
          <w:i/>
          <w:iCs/>
        </w:rPr>
        <w:t>Journal of Chemometrics</w:t>
      </w:r>
      <w:r>
        <w:t xml:space="preserve">, </w:t>
      </w:r>
      <w:r>
        <w:rPr>
          <w:i/>
          <w:iCs/>
        </w:rPr>
        <w:t>32</w:t>
      </w:r>
      <w:r>
        <w:t>(10), e3049.</w:t>
      </w:r>
    </w:p>
    <w:p w14:paraId="708F54D6" w14:textId="77777777" w:rsidR="00A82CB2" w:rsidRDefault="00000000">
      <w:pPr>
        <w:pStyle w:val="Bibliography"/>
      </w:pPr>
      <w:bookmarkStart w:id="61" w:name="ref-jimenez2023dimensionality"/>
      <w:bookmarkEnd w:id="60"/>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45B68B14" w14:textId="77777777" w:rsidR="00A82CB2" w:rsidRDefault="00000000">
      <w:pPr>
        <w:pStyle w:val="Bibliography"/>
      </w:pPr>
      <w:bookmarkStart w:id="62" w:name="ref-jovanovic2020longer"/>
      <w:bookmarkEnd w:id="61"/>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0702697E" w14:textId="77777777" w:rsidR="00A82CB2" w:rsidRDefault="00000000">
      <w:pPr>
        <w:pStyle w:val="Bibliography"/>
      </w:pPr>
      <w:bookmarkStart w:id="63" w:name="ref-khalsa2018interoception"/>
      <w:bookmarkEnd w:id="62"/>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0295B77B" w14:textId="77777777" w:rsidR="00A82CB2" w:rsidRPr="00A3476F" w:rsidRDefault="00000000">
      <w:pPr>
        <w:pStyle w:val="Bibliography"/>
        <w:rPr>
          <w:lang w:val="fr-FR"/>
        </w:rPr>
      </w:pPr>
      <w:bookmarkStart w:id="64" w:name="ref-kirsch2023role"/>
      <w:bookmarkEnd w:id="63"/>
      <w:r>
        <w:lastRenderedPageBreak/>
        <w:t xml:space="preserve">Kirsch, W., &amp; Kunde, W. (2023). On the role of interoception in body and object perception: A multisensory-integration account. </w:t>
      </w:r>
      <w:r w:rsidRPr="00A3476F">
        <w:rPr>
          <w:i/>
          <w:iCs/>
          <w:lang w:val="fr-FR"/>
        </w:rPr>
        <w:t xml:space="preserve">Perspectives on </w:t>
      </w:r>
      <w:proofErr w:type="spellStart"/>
      <w:r w:rsidRPr="00A3476F">
        <w:rPr>
          <w:i/>
          <w:iCs/>
          <w:lang w:val="fr-FR"/>
        </w:rPr>
        <w:t>Psychological</w:t>
      </w:r>
      <w:proofErr w:type="spellEnd"/>
      <w:r w:rsidRPr="00A3476F">
        <w:rPr>
          <w:i/>
          <w:iCs/>
          <w:lang w:val="fr-FR"/>
        </w:rPr>
        <w:t xml:space="preserve"> Science</w:t>
      </w:r>
      <w:r w:rsidRPr="00A3476F">
        <w:rPr>
          <w:lang w:val="fr-FR"/>
        </w:rPr>
        <w:t xml:space="preserve">, </w:t>
      </w:r>
      <w:r w:rsidRPr="00A3476F">
        <w:rPr>
          <w:i/>
          <w:iCs/>
          <w:lang w:val="fr-FR"/>
        </w:rPr>
        <w:t>18</w:t>
      </w:r>
      <w:r w:rsidRPr="00A3476F">
        <w:rPr>
          <w:lang w:val="fr-FR"/>
        </w:rPr>
        <w:t>(2), 321–339.</w:t>
      </w:r>
    </w:p>
    <w:p w14:paraId="44AC9FB5" w14:textId="77777777" w:rsidR="00A82CB2" w:rsidRDefault="00000000">
      <w:pPr>
        <w:pStyle w:val="Bibliography"/>
      </w:pPr>
      <w:bookmarkStart w:id="65" w:name="ref-kolacz2018body"/>
      <w:bookmarkEnd w:id="64"/>
      <w:r w:rsidRPr="00A3476F">
        <w:rPr>
          <w:lang w:val="fr-FR"/>
        </w:rPr>
        <w:t xml:space="preserve">Kolacz, J., Holmes, L., &amp; Porges, S. W. (2018). Body perception questionnaire (BPQ) </w:t>
      </w:r>
      <w:proofErr w:type="spellStart"/>
      <w:r w:rsidRPr="00A3476F">
        <w:rPr>
          <w:lang w:val="fr-FR"/>
        </w:rPr>
        <w:t>manual</w:t>
      </w:r>
      <w:proofErr w:type="spellEnd"/>
      <w:r w:rsidRPr="00A3476F">
        <w:rPr>
          <w:lang w:val="fr-FR"/>
        </w:rPr>
        <w:t xml:space="preserve">. </w:t>
      </w:r>
      <w:r>
        <w:rPr>
          <w:i/>
          <w:iCs/>
        </w:rPr>
        <w:t>Traumatic Stress Research Consortium</w:t>
      </w:r>
      <w:r>
        <w:t>.</w:t>
      </w:r>
    </w:p>
    <w:p w14:paraId="2D77BB2C" w14:textId="77777777" w:rsidR="00A82CB2" w:rsidRDefault="00000000">
      <w:pPr>
        <w:pStyle w:val="Bibliography"/>
      </w:pPr>
      <w:bookmarkStart w:id="66" w:name="ref-kroenke2009ultra"/>
      <w:bookmarkEnd w:id="65"/>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65545E59" w14:textId="77777777" w:rsidR="00A82CB2" w:rsidRDefault="00000000">
      <w:pPr>
        <w:pStyle w:val="Bibliography"/>
      </w:pPr>
      <w:bookmarkStart w:id="67" w:name="ref-leising2009toronto"/>
      <w:bookmarkEnd w:id="66"/>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70B47497" w14:textId="77777777" w:rsidR="00A82CB2" w:rsidRDefault="00000000">
      <w:pPr>
        <w:pStyle w:val="Bibliography"/>
      </w:pPr>
      <w:bookmarkStart w:id="68" w:name="ref-lin2023psychometric"/>
      <w:bookmarkEnd w:id="67"/>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55E9B326" w14:textId="77777777" w:rsidR="00A82CB2" w:rsidRDefault="00000000">
      <w:pPr>
        <w:pStyle w:val="Bibliography"/>
      </w:pPr>
      <w:bookmarkStart w:id="69" w:name="ref-longarzo2015relationships"/>
      <w:bookmarkEnd w:id="68"/>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18AA109" w14:textId="77777777" w:rsidR="00A82CB2" w:rsidRDefault="00000000">
      <w:pPr>
        <w:pStyle w:val="Bibliography"/>
      </w:pPr>
      <w:bookmarkStart w:id="70" w:name="ref-ludecke2020extracting"/>
      <w:bookmarkEnd w:id="69"/>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3E507CC8" w14:textId="77777777" w:rsidR="00A82CB2" w:rsidRDefault="00000000">
      <w:pPr>
        <w:pStyle w:val="Bibliography"/>
      </w:pPr>
      <w:bookmarkStart w:id="71" w:name="ref-ludecke2021performance"/>
      <w:bookmarkEnd w:id="70"/>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30CFEC6F" w14:textId="77777777" w:rsidR="00A82CB2" w:rsidRDefault="00000000">
      <w:pPr>
        <w:pStyle w:val="Bibliography"/>
      </w:pPr>
      <w:bookmarkStart w:id="72" w:name="ref-ludecke2019insight"/>
      <w:bookmarkEnd w:id="71"/>
      <w:r>
        <w:lastRenderedPageBreak/>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33AE3338" w14:textId="77777777" w:rsidR="00A82CB2" w:rsidRDefault="00000000">
      <w:pPr>
        <w:pStyle w:val="Bibliography"/>
      </w:pPr>
      <w:bookmarkStart w:id="73" w:name="ref-magnavita2022development"/>
      <w:bookmarkEnd w:id="72"/>
      <w:r>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3CEFBD77" w14:textId="77777777" w:rsidR="00A82CB2" w:rsidRDefault="00000000">
      <w:pPr>
        <w:pStyle w:val="Bibliography"/>
      </w:pPr>
      <w:bookmarkStart w:id="74" w:name="ref-ma2024demographic"/>
      <w:bookmarkEnd w:id="73"/>
      <w:r>
        <w:t xml:space="preserve">Ma-Kellams, C., Prentice, F., Spooner, R., &amp; Murphy, J. (2024). Demographic differences in interoception. </w:t>
      </w:r>
      <w:r>
        <w:rPr>
          <w:i/>
          <w:iCs/>
        </w:rPr>
        <w:t>Interoception: A Comprehensive Guide</w:t>
      </w:r>
      <w:r>
        <w:t>, 357–403.</w:t>
      </w:r>
    </w:p>
    <w:p w14:paraId="54445B11" w14:textId="77777777" w:rsidR="00A82CB2" w:rsidRDefault="00000000">
      <w:pPr>
        <w:pStyle w:val="Bibliography"/>
      </w:pPr>
      <w:bookmarkStart w:id="75" w:name="ref-makowski2025measuring"/>
      <w:bookmarkEnd w:id="74"/>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5D667709" w14:textId="77777777" w:rsidR="00A82CB2" w:rsidRDefault="00000000">
      <w:pPr>
        <w:pStyle w:val="Bibliography"/>
      </w:pPr>
      <w:bookmarkStart w:id="76" w:name="ref-mayer2011exploratory"/>
      <w:bookmarkEnd w:id="75"/>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3EF188A2" w14:textId="77777777" w:rsidR="00A82CB2" w:rsidRDefault="00000000">
      <w:pPr>
        <w:pStyle w:val="Bibliography"/>
      </w:pPr>
      <w:bookmarkStart w:id="77" w:name="ref-mehling2018multidimensional"/>
      <w:bookmarkEnd w:id="76"/>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53138C10" w14:textId="77777777" w:rsidR="00A82CB2" w:rsidRDefault="00000000">
      <w:pPr>
        <w:pStyle w:val="Bibliography"/>
      </w:pPr>
      <w:bookmarkStart w:id="78" w:name="ref-mehling2009body"/>
      <w:bookmarkEnd w:id="77"/>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2FF11A27" w14:textId="77777777" w:rsidR="00A82CB2" w:rsidRDefault="00000000">
      <w:pPr>
        <w:pStyle w:val="Bibliography"/>
      </w:pPr>
      <w:bookmarkStart w:id="79" w:name="ref-miller1981consciousness"/>
      <w:bookmarkEnd w:id="78"/>
      <w:r>
        <w:t xml:space="preserve">Miller, L. C., Murphy, R., &amp; Buss, A. H. (1981). Consciousness of body: Private and public. </w:t>
      </w:r>
      <w:r>
        <w:rPr>
          <w:i/>
          <w:iCs/>
        </w:rPr>
        <w:t>Journal of Personality and Social Psychology</w:t>
      </w:r>
      <w:r>
        <w:t xml:space="preserve">, </w:t>
      </w:r>
      <w:r>
        <w:rPr>
          <w:i/>
          <w:iCs/>
        </w:rPr>
        <w:t>41</w:t>
      </w:r>
      <w:r>
        <w:t>(2), 397.</w:t>
      </w:r>
    </w:p>
    <w:p w14:paraId="4F8529ED" w14:textId="77777777" w:rsidR="00A82CB2" w:rsidRDefault="00000000">
      <w:pPr>
        <w:pStyle w:val="Bibliography"/>
      </w:pPr>
      <w:bookmarkStart w:id="80" w:name="ref-murphy2020testing"/>
      <w:bookmarkEnd w:id="79"/>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42A6482F" w14:textId="77777777" w:rsidR="00A82CB2" w:rsidRDefault="00000000">
      <w:pPr>
        <w:pStyle w:val="Bibliography"/>
      </w:pPr>
      <w:bookmarkStart w:id="81" w:name="ref-murphy2018classifying"/>
      <w:bookmarkEnd w:id="80"/>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002BF9D0" w14:textId="77777777" w:rsidR="00A82CB2" w:rsidRDefault="00000000">
      <w:pPr>
        <w:pStyle w:val="Bibliography"/>
      </w:pPr>
      <w:bookmarkStart w:id="82" w:name="ref-paulus2010interoception"/>
      <w:bookmarkEnd w:id="81"/>
      <w:r>
        <w:t xml:space="preserve">Paulus, M. P., &amp; Stein, M. B. (2010). Interoception in anxiety and depression. </w:t>
      </w:r>
      <w:r>
        <w:rPr>
          <w:i/>
          <w:iCs/>
        </w:rPr>
        <w:t>Brain Structure and Function</w:t>
      </w:r>
      <w:r>
        <w:t xml:space="preserve">, </w:t>
      </w:r>
      <w:r>
        <w:rPr>
          <w:i/>
          <w:iCs/>
        </w:rPr>
        <w:t>214</w:t>
      </w:r>
      <w:r>
        <w:t>(5), 451–463.</w:t>
      </w:r>
    </w:p>
    <w:p w14:paraId="321B3FA9" w14:textId="77777777" w:rsidR="00A82CB2" w:rsidRDefault="00000000">
      <w:pPr>
        <w:pStyle w:val="Bibliography"/>
      </w:pPr>
      <w:bookmarkStart w:id="83" w:name="ref-Rcoreteam"/>
      <w:bookmarkEnd w:id="82"/>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5A65F87B" w14:textId="77777777" w:rsidR="00A82CB2" w:rsidRDefault="00000000">
      <w:pPr>
        <w:pStyle w:val="Bibliography"/>
      </w:pPr>
      <w:bookmarkStart w:id="84" w:name="ref-shields1989body"/>
      <w:bookmarkEnd w:id="83"/>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14FA76DB" w14:textId="77777777" w:rsidR="00A82CB2" w:rsidRDefault="00000000">
      <w:pPr>
        <w:pStyle w:val="Bibliography"/>
      </w:pPr>
      <w:bookmarkStart w:id="85" w:name="ref-shoji2018investigating"/>
      <w:bookmarkEnd w:id="84"/>
      <w:r>
        <w:t xml:space="preserve">Shoji, M., Mehling, W. E., &amp; Hautzinger, M. (2018). </w:t>
      </w:r>
      <w:r>
        <w:rPr>
          <w:i/>
          <w:iCs/>
        </w:rPr>
        <w:t>Investigating multidimensional interoceptive awareness in a japanese population</w:t>
      </w:r>
      <w:r>
        <w:t>.</w:t>
      </w:r>
    </w:p>
    <w:p w14:paraId="67AE5FCF" w14:textId="77777777" w:rsidR="00A82CB2" w:rsidRDefault="00000000">
      <w:pPr>
        <w:pStyle w:val="Bibliography"/>
      </w:pPr>
      <w:bookmarkStart w:id="86" w:name="ref-sibson1978studies"/>
      <w:bookmarkEnd w:id="85"/>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79E8781" w14:textId="77777777" w:rsidR="00A82CB2" w:rsidRDefault="00000000">
      <w:pPr>
        <w:pStyle w:val="Bibliography"/>
      </w:pPr>
      <w:bookmarkStart w:id="87" w:name="ref-theriault2024check"/>
      <w:bookmarkEnd w:id="86"/>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07C12AA5" w14:textId="77777777" w:rsidR="00A82CB2" w:rsidRDefault="00000000">
      <w:pPr>
        <w:pStyle w:val="Bibliography"/>
      </w:pPr>
      <w:bookmarkStart w:id="88" w:name="ref-traag2019louvain"/>
      <w:bookmarkEnd w:id="87"/>
      <w:r>
        <w:t xml:space="preserve">Traag, V. A., Waltman, L., &amp; Van Eck, N. J. (2019). From louvain to leiden: Guaranteeing well-connected communities. </w:t>
      </w:r>
      <w:r>
        <w:rPr>
          <w:i/>
          <w:iCs/>
        </w:rPr>
        <w:t>Scientific Reports</w:t>
      </w:r>
      <w:r>
        <w:t xml:space="preserve">, </w:t>
      </w:r>
      <w:r>
        <w:rPr>
          <w:i/>
          <w:iCs/>
        </w:rPr>
        <w:t>9</w:t>
      </w:r>
      <w:r>
        <w:t>(1), 1–12.</w:t>
      </w:r>
    </w:p>
    <w:p w14:paraId="188DBA0F" w14:textId="77777777" w:rsidR="00A82CB2" w:rsidRDefault="00000000">
      <w:pPr>
        <w:pStyle w:val="Bibliography"/>
      </w:pPr>
      <w:bookmarkStart w:id="89" w:name="ref-veilleux2024development"/>
      <w:bookmarkEnd w:id="88"/>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10279B2F" w14:textId="77777777" w:rsidR="00A82CB2" w:rsidRDefault="00000000">
      <w:pPr>
        <w:pStyle w:val="Bibliography"/>
      </w:pPr>
      <w:bookmarkStart w:id="90" w:name="ref-vig2022questionnaires"/>
      <w:bookmarkEnd w:id="89"/>
      <w:r>
        <w:t xml:space="preserve">Vig, L., Köteles, F., &amp; Ferentzi, E. (2022). Questionnaires of interoception do not assess the same construct. </w:t>
      </w:r>
      <w:r>
        <w:rPr>
          <w:i/>
          <w:iCs/>
        </w:rPr>
        <w:t>PLoS One</w:t>
      </w:r>
      <w:r>
        <w:t xml:space="preserve">, </w:t>
      </w:r>
      <w:r>
        <w:rPr>
          <w:i/>
          <w:iCs/>
        </w:rPr>
        <w:t>17</w:t>
      </w:r>
      <w:r>
        <w:t>(8), e0273299.</w:t>
      </w:r>
    </w:p>
    <w:p w14:paraId="5A79035C" w14:textId="77777777" w:rsidR="00A82CB2" w:rsidRDefault="00000000">
      <w:pPr>
        <w:pStyle w:val="Bibliography"/>
      </w:pPr>
      <w:bookmarkStart w:id="91" w:name="ref-wongvorachan2025item"/>
      <w:bookmarkEnd w:id="90"/>
      <w:r>
        <w:lastRenderedPageBreak/>
        <w:t xml:space="preserve">Wongvorachan, T. (2025). </w:t>
      </w:r>
      <w:r>
        <w:rPr>
          <w:i/>
          <w:iCs/>
        </w:rPr>
        <w:t>Item revision with network psychometrics and natural language processing</w:t>
      </w:r>
      <w:r>
        <w:t>.</w:t>
      </w:r>
    </w:p>
    <w:p w14:paraId="6F82BD7B" w14:textId="77777777" w:rsidR="00A82CB2" w:rsidRDefault="00000000">
      <w:pPr>
        <w:pStyle w:val="Bibliography"/>
      </w:pPr>
      <w:bookmarkStart w:id="92" w:name="ref-zamariola2018interoceptive"/>
      <w:bookmarkEnd w:id="91"/>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05AC0874" w14:textId="77777777" w:rsidR="00A82CB2" w:rsidRDefault="00000000">
      <w:pPr>
        <w:pStyle w:val="FigureTitle"/>
      </w:pPr>
      <w:bookmarkStart w:id="93" w:name="fig-one"/>
      <w:bookmarkEnd w:id="33"/>
      <w:bookmarkEnd w:id="92"/>
      <w:r>
        <w:lastRenderedPageBreak/>
        <w:t>Figure 1</w:t>
      </w:r>
    </w:p>
    <w:p w14:paraId="33CD0BDB" w14:textId="77777777" w:rsidR="00A82CB2" w:rsidRDefault="00000000">
      <w:pPr>
        <w:pStyle w:val="Caption"/>
      </w:pPr>
      <w:r>
        <w:t>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w:t>
      </w:r>
    </w:p>
    <w:p w14:paraId="5C4C8F7F" w14:textId="77777777" w:rsidR="00A82CB2" w:rsidRDefault="00000000">
      <w:pPr>
        <w:pStyle w:val="FigureWithoutNote"/>
      </w:pPr>
      <w:r>
        <w:rPr>
          <w:noProof/>
        </w:rPr>
        <w:lastRenderedPageBreak/>
        <w:drawing>
          <wp:inline distT="0" distB="0" distL="0" distR="0" wp14:anchorId="54A3299B" wp14:editId="128001C4">
            <wp:extent cx="5943600" cy="566057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0029EB29" w14:textId="77777777" w:rsidR="00A82CB2" w:rsidRDefault="00000000">
      <w:pPr>
        <w:pStyle w:val="FigureTitle"/>
      </w:pPr>
      <w:bookmarkStart w:id="94" w:name="fig-two"/>
      <w:bookmarkEnd w:id="93"/>
      <w:r>
        <w:lastRenderedPageBreak/>
        <w:t>Figure 2</w:t>
      </w:r>
    </w:p>
    <w:p w14:paraId="632F2636" w14:textId="77777777" w:rsidR="00A82CB2" w:rsidRDefault="00000000">
      <w:pPr>
        <w:pStyle w:val="Caption"/>
      </w:pPr>
      <w:r>
        <w:t xml:space="preserve">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statbility across methods, and allowing for more granular understanding of the relationships between variables.</w:t>
      </w:r>
    </w:p>
    <w:p w14:paraId="22D9C6CE" w14:textId="77777777" w:rsidR="00A82CB2" w:rsidRDefault="00000000">
      <w:pPr>
        <w:pStyle w:val="FigureWithoutNote"/>
      </w:pPr>
      <w:r>
        <w:rPr>
          <w:noProof/>
        </w:rPr>
        <w:lastRenderedPageBreak/>
        <w:drawing>
          <wp:inline distT="0" distB="0" distL="0" distR="0" wp14:anchorId="53D0899A" wp14:editId="023BCB24">
            <wp:extent cx="4754880" cy="7132319"/>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17AC7EE4" w14:textId="77777777" w:rsidR="00A82CB2" w:rsidRDefault="00000000">
      <w:pPr>
        <w:pStyle w:val="FigureTitle"/>
      </w:pPr>
      <w:bookmarkStart w:id="95" w:name="fig-three"/>
      <w:bookmarkEnd w:id="94"/>
      <w:r>
        <w:lastRenderedPageBreak/>
        <w:t>Figure 3</w:t>
      </w:r>
    </w:p>
    <w:p w14:paraId="4F8CB131" w14:textId="77777777" w:rsidR="00A82CB2"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63767FC3" w14:textId="77777777" w:rsidR="00A82CB2" w:rsidRDefault="00000000">
      <w:pPr>
        <w:pStyle w:val="FigureWithoutNote"/>
      </w:pPr>
      <w:r>
        <w:rPr>
          <w:noProof/>
        </w:rPr>
        <w:lastRenderedPageBreak/>
        <w:drawing>
          <wp:inline distT="0" distB="0" distL="0" distR="0" wp14:anchorId="4AECD0A9" wp14:editId="7A0DC028">
            <wp:extent cx="5943600" cy="6832486"/>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5410494F" w14:textId="77777777" w:rsidR="00A82CB2" w:rsidRDefault="00000000">
      <w:pPr>
        <w:pStyle w:val="FigureTitle"/>
      </w:pPr>
      <w:bookmarkStart w:id="96" w:name="fig-four"/>
      <w:bookmarkEnd w:id="95"/>
      <w:r>
        <w:lastRenderedPageBreak/>
        <w:t>Figure 4</w:t>
      </w:r>
    </w:p>
    <w:p w14:paraId="0FD94401" w14:textId="77777777" w:rsidR="00A82CB2"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1D1287D9" w14:textId="77777777" w:rsidR="00A82CB2" w:rsidRDefault="00000000">
      <w:pPr>
        <w:pStyle w:val="FigureWithoutNote"/>
      </w:pPr>
      <w:r>
        <w:rPr>
          <w:noProof/>
        </w:rPr>
        <w:lastRenderedPageBreak/>
        <w:drawing>
          <wp:inline distT="0" distB="0" distL="0" distR="0" wp14:anchorId="7C91AA6D" wp14:editId="7B440703">
            <wp:extent cx="5943600" cy="713232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6AF24D1F" w14:textId="77777777" w:rsidR="00A82CB2" w:rsidRDefault="00000000">
      <w:pPr>
        <w:pStyle w:val="FigureTitle"/>
      </w:pPr>
      <w:bookmarkStart w:id="97" w:name="fig-five"/>
      <w:bookmarkEnd w:id="96"/>
      <w:r>
        <w:lastRenderedPageBreak/>
        <w:t>Figure 5</w:t>
      </w:r>
    </w:p>
    <w:p w14:paraId="6C858E6D" w14:textId="77777777" w:rsidR="00A82CB2"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5AB5E8A7" w14:textId="77777777" w:rsidR="00A82CB2" w:rsidRDefault="00000000">
      <w:pPr>
        <w:pStyle w:val="FigureWithoutNote"/>
      </w:pPr>
      <w:r>
        <w:rPr>
          <w:noProof/>
        </w:rPr>
        <w:lastRenderedPageBreak/>
        <w:drawing>
          <wp:inline distT="0" distB="0" distL="0" distR="0" wp14:anchorId="7BCE022F" wp14:editId="2936CE45">
            <wp:extent cx="4873752" cy="645356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0FAB2EA8" w14:textId="77777777" w:rsidR="00A82CB2" w:rsidRDefault="00000000">
      <w:pPr>
        <w:pStyle w:val="FigureTitle"/>
      </w:pPr>
      <w:bookmarkStart w:id="98" w:name="fig-six"/>
      <w:bookmarkEnd w:id="97"/>
      <w:r>
        <w:lastRenderedPageBreak/>
        <w:t>Figure 6</w:t>
      </w:r>
    </w:p>
    <w:p w14:paraId="35298A4B" w14:textId="77777777" w:rsidR="00A82CB2" w:rsidRDefault="00000000">
      <w:pPr>
        <w:pStyle w:val="Caption"/>
      </w:pPr>
      <w:r>
        <w:t>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w:t>
      </w:r>
    </w:p>
    <w:p w14:paraId="15AB3FFB" w14:textId="77777777" w:rsidR="00A82CB2" w:rsidRDefault="00000000">
      <w:pPr>
        <w:pStyle w:val="FigureWithoutNote"/>
      </w:pPr>
      <w:r>
        <w:rPr>
          <w:noProof/>
        </w:rPr>
        <w:drawing>
          <wp:inline distT="0" distB="0" distL="0" distR="0" wp14:anchorId="3693F706" wp14:editId="65785F5E">
            <wp:extent cx="5943600" cy="411480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study2/analysis/figures/fig3.png"/>
                    <pic:cNvPicPr>
                      <a:picLocks noChangeAspect="1" noChangeArrowheads="1"/>
                    </pic:cNvPicPr>
                  </pic:nvPicPr>
                  <pic:blipFill>
                    <a:blip r:embed="rId22"/>
                    <a:stretch>
                      <a:fillRect/>
                    </a:stretch>
                  </pic:blipFill>
                  <pic:spPr bwMode="auto">
                    <a:xfrm>
                      <a:off x="0" y="0"/>
                      <a:ext cx="5943600" cy="4114800"/>
                    </a:xfrm>
                    <a:prstGeom prst="rect">
                      <a:avLst/>
                    </a:prstGeom>
                    <a:noFill/>
                    <a:ln w="9525">
                      <a:noFill/>
                      <a:headEnd/>
                      <a:tailEnd/>
                    </a:ln>
                  </pic:spPr>
                </pic:pic>
              </a:graphicData>
            </a:graphic>
          </wp:inline>
        </w:drawing>
      </w:r>
    </w:p>
    <w:p w14:paraId="65C246C4" w14:textId="77777777" w:rsidR="00A82CB2" w:rsidRDefault="00000000">
      <w:pPr>
        <w:pStyle w:val="FigureTitle"/>
      </w:pPr>
      <w:bookmarkStart w:id="99" w:name="fig-seven"/>
      <w:bookmarkEnd w:id="98"/>
      <w:r>
        <w:lastRenderedPageBreak/>
        <w:t>Figure 7</w:t>
      </w:r>
    </w:p>
    <w:p w14:paraId="6921AB16" w14:textId="77777777" w:rsidR="00A82CB2"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 Statistical significance of group differences is indicated using standard thresholds (* p &lt; .05, ** p &lt; .01, *** p &lt; .001).</w:t>
      </w:r>
    </w:p>
    <w:p w14:paraId="4BAD5BAF" w14:textId="77777777" w:rsidR="00A82CB2" w:rsidRDefault="00000000">
      <w:pPr>
        <w:pStyle w:val="FigureWithoutNote"/>
      </w:pPr>
      <w:r>
        <w:rPr>
          <w:noProof/>
        </w:rPr>
        <w:drawing>
          <wp:inline distT="0" distB="0" distL="0" distR="0" wp14:anchorId="55EF9035" wp14:editId="627C3325">
            <wp:extent cx="2971800" cy="3398782"/>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tudy2/analysis/figures/table3.png"/>
                    <pic:cNvPicPr>
                      <a:picLocks noChangeAspect="1" noChangeArrowheads="1"/>
                    </pic:cNvPicPr>
                  </pic:nvPicPr>
                  <pic:blipFill>
                    <a:blip r:embed="rId23"/>
                    <a:stretch>
                      <a:fillRect/>
                    </a:stretch>
                  </pic:blipFill>
                  <pic:spPr bwMode="auto">
                    <a:xfrm>
                      <a:off x="0" y="0"/>
                      <a:ext cx="2971800" cy="3398782"/>
                    </a:xfrm>
                    <a:prstGeom prst="rect">
                      <a:avLst/>
                    </a:prstGeom>
                    <a:noFill/>
                    <a:ln w="9525">
                      <a:noFill/>
                      <a:headEnd/>
                      <a:tailEnd/>
                    </a:ln>
                  </pic:spPr>
                </pic:pic>
              </a:graphicData>
            </a:graphic>
          </wp:inline>
        </w:drawing>
      </w:r>
      <w:bookmarkEnd w:id="31"/>
      <w:bookmarkEnd w:id="99"/>
    </w:p>
    <w:sectPr w:rsidR="00A82CB2">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145D9" w14:textId="77777777" w:rsidR="00AE799D" w:rsidRDefault="00AE799D">
      <w:pPr>
        <w:spacing w:line="240" w:lineRule="auto"/>
      </w:pPr>
      <w:r>
        <w:separator/>
      </w:r>
    </w:p>
  </w:endnote>
  <w:endnote w:type="continuationSeparator" w:id="0">
    <w:p w14:paraId="5A681295" w14:textId="77777777" w:rsidR="00AE799D" w:rsidRDefault="00AE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EB708" w14:textId="77777777" w:rsidR="00AE799D" w:rsidRDefault="00AE799D">
      <w:pPr>
        <w:pStyle w:val="Footer"/>
      </w:pPr>
    </w:p>
    <w:p w14:paraId="3440923C" w14:textId="77777777" w:rsidR="00AE799D" w:rsidRDefault="00AE799D"/>
    <w:p w14:paraId="2C36E9F4" w14:textId="77777777" w:rsidR="00AE799D" w:rsidRDefault="00AE799D">
      <w:pPr>
        <w:pStyle w:val="Header"/>
      </w:pPr>
    </w:p>
    <w:p w14:paraId="51BA0D88" w14:textId="77777777" w:rsidR="00AE799D" w:rsidRDefault="00AE799D"/>
    <w:p w14:paraId="69A5F6B7" w14:textId="77777777" w:rsidR="00AE799D" w:rsidRDefault="00AE799D">
      <w:pPr>
        <w:pStyle w:val="Footer"/>
      </w:pPr>
    </w:p>
    <w:p w14:paraId="1EF6C24B" w14:textId="77777777" w:rsidR="00AE799D" w:rsidRDefault="00AE799D"/>
    <w:p w14:paraId="7B887BBA" w14:textId="77777777" w:rsidR="00AE799D" w:rsidRDefault="00AE799D">
      <w:pPr>
        <w:pStyle w:val="Footer"/>
      </w:pPr>
    </w:p>
    <w:p w14:paraId="3DFF8F86" w14:textId="77777777" w:rsidR="00AE799D" w:rsidRDefault="00AE799D"/>
    <w:p w14:paraId="1031D263" w14:textId="77777777" w:rsidR="00AE799D" w:rsidRPr="000D23CF" w:rsidRDefault="00AE799D"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6260D71C" w14:textId="77777777" w:rsidR="00AE799D" w:rsidRDefault="00AE799D">
      <w:pPr>
        <w:pStyle w:val="Header"/>
      </w:pPr>
    </w:p>
    <w:p w14:paraId="38294163" w14:textId="77777777" w:rsidR="00AE799D" w:rsidRDefault="00AE799D"/>
    <w:p w14:paraId="21BE423E" w14:textId="77777777" w:rsidR="00AE799D" w:rsidRDefault="00AE799D">
      <w:pPr>
        <w:spacing w:line="240" w:lineRule="auto"/>
      </w:pPr>
      <w:r>
        <w:separator/>
      </w:r>
    </w:p>
  </w:footnote>
  <w:footnote w:type="continuationSeparator" w:id="0">
    <w:p w14:paraId="69DC9E08" w14:textId="77777777" w:rsidR="00AE799D" w:rsidRDefault="00AE799D">
      <w:pPr>
        <w:spacing w:line="240" w:lineRule="auto"/>
      </w:pPr>
      <w:r>
        <w:continuationSeparator/>
      </w:r>
    </w:p>
  </w:footnote>
  <w:footnote w:id="1">
    <w:p w14:paraId="034601D1" w14:textId="77777777" w:rsidR="00A82CB2" w:rsidRDefault="00000000">
      <w:pPr>
        <w:pStyle w:val="FootnoteText"/>
      </w:pPr>
      <w:r>
        <w:rPr>
          <w:rStyle w:val="FootnoteReference"/>
        </w:rPr>
        <w:footnoteRef/>
      </w:r>
      <w:r>
        <w:t xml:space="preserve"> See original items at </w:t>
      </w:r>
      <w:r>
        <w:rPr>
          <w:i/>
          <w:iCs/>
        </w:rPr>
        <w:t>“MASKED FOR REVIEW”</w:t>
      </w:r>
    </w:p>
  </w:footnote>
  <w:footnote w:id="2">
    <w:p w14:paraId="2FC07270" w14:textId="77777777" w:rsidR="00A82CB2" w:rsidRDefault="00000000">
      <w:pPr>
        <w:pStyle w:val="FootnoteText"/>
      </w:pPr>
      <w:r>
        <w:rPr>
          <w:rStyle w:val="FootnoteReference"/>
        </w:rPr>
        <w:footnoteRef/>
      </w:r>
      <w:r>
        <w:t xml:space="preserve"> The experiment can be tested by following the link on </w:t>
      </w:r>
      <w:r>
        <w:rPr>
          <w:i/>
          <w:iCs/>
        </w:rPr>
        <w:t>“MASKED FOR REVIEW”</w:t>
      </w:r>
    </w:p>
  </w:footnote>
  <w:footnote w:id="3">
    <w:p w14:paraId="04F2FF6C" w14:textId="77777777" w:rsidR="00A82CB2" w:rsidRDefault="00000000">
      <w:pPr>
        <w:pStyle w:val="FootnoteText"/>
      </w:pPr>
      <w:r>
        <w:rPr>
          <w:rStyle w:val="FootnoteReference"/>
        </w:rPr>
        <w:footnoteRef/>
      </w:r>
      <w:r>
        <w:t xml:space="preserve"> See correlation results to further justify this selection.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E2ECF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570215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47B2D"/>
    <w:rsid w:val="000520BC"/>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11195"/>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3476F"/>
    <w:rsid w:val="00A46245"/>
    <w:rsid w:val="00A75D77"/>
    <w:rsid w:val="00A82821"/>
    <w:rsid w:val="00A82CB2"/>
    <w:rsid w:val="00A946AC"/>
    <w:rsid w:val="00AA1F29"/>
    <w:rsid w:val="00AC3115"/>
    <w:rsid w:val="00AC58E4"/>
    <w:rsid w:val="00AE4D7A"/>
    <w:rsid w:val="00AE5BBA"/>
    <w:rsid w:val="00AE799D"/>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11B42"/>
  <w15:docId w15:val="{569701A1-707B-4A7E-830D-3AB4E400E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A347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13258</Words>
  <Characters>75575</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4</cp:revision>
  <dcterms:created xsi:type="dcterms:W3CDTF">2026-06-15T17:04:00Z</dcterms:created>
  <dcterms:modified xsi:type="dcterms:W3CDTF">2026-06-15T17:51:00Z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novel “modality-by-context” framework was generated and then reduced using psychometric network analysis. In Study 2 (N=737), we further establish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10111</vt:lpwstr>
  </property>
  <property fmtid="{D5CDD505-2E9C-101B-9397-08002B2CF9AE}" pid="64" name="zerocitations">
    <vt:lpwstr>False</vt:lpwstr>
  </property>
</Properties>
</file>