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1EC0" w14:textId="77777777" w:rsidR="009C1AFA" w:rsidRPr="009C1AFA" w:rsidRDefault="06084593" w:rsidP="335BBD30">
      <w:pPr>
        <w:spacing w:after="0" w:line="276" w:lineRule="auto"/>
        <w:rPr>
          <w:rFonts w:ascii="Arial" w:hAnsi="Arial" w:cs="Arial"/>
          <w:b/>
          <w:bCs/>
          <w:sz w:val="22"/>
          <w:szCs w:val="22"/>
          <w:u w:val="single"/>
        </w:rPr>
      </w:pPr>
      <w:r w:rsidRPr="6D3FDA6D">
        <w:rPr>
          <w:rFonts w:ascii="Arial" w:hAnsi="Arial" w:cs="Arial"/>
          <w:b/>
          <w:bCs/>
          <w:sz w:val="22"/>
          <w:szCs w:val="22"/>
          <w:u w:val="single"/>
        </w:rPr>
        <w:t>Supplemental Information</w:t>
      </w:r>
    </w:p>
    <w:p w14:paraId="650884B0" w14:textId="77777777" w:rsidR="009C1AFA" w:rsidRPr="009C1AFA" w:rsidRDefault="009C1AFA" w:rsidP="335BBD30">
      <w:pPr>
        <w:spacing w:after="0" w:line="276" w:lineRule="auto"/>
        <w:rPr>
          <w:rFonts w:ascii="Arial" w:hAnsi="Arial" w:cs="Arial"/>
          <w:sz w:val="22"/>
          <w:szCs w:val="22"/>
        </w:rPr>
      </w:pPr>
    </w:p>
    <w:p w14:paraId="12D74515" w14:textId="77777777" w:rsidR="009C1AFA" w:rsidRPr="009C1AFA" w:rsidRDefault="06084593" w:rsidP="335BBD30">
      <w:pPr>
        <w:spacing w:after="0" w:line="276" w:lineRule="auto"/>
        <w:rPr>
          <w:rFonts w:ascii="Arial" w:hAnsi="Arial" w:cs="Arial"/>
          <w:sz w:val="22"/>
          <w:szCs w:val="22"/>
          <w:u w:val="single"/>
        </w:rPr>
      </w:pPr>
      <w:r w:rsidRPr="6D3FDA6D">
        <w:rPr>
          <w:rFonts w:ascii="Arial" w:hAnsi="Arial" w:cs="Arial"/>
          <w:sz w:val="22"/>
          <w:szCs w:val="22"/>
          <w:u w:val="single"/>
        </w:rPr>
        <w:t>Methods</w:t>
      </w:r>
    </w:p>
    <w:p w14:paraId="6781F4BE" w14:textId="77777777" w:rsidR="009C1AFA" w:rsidRPr="009C1AFA" w:rsidRDefault="009C1AFA" w:rsidP="335BBD30">
      <w:pPr>
        <w:spacing w:after="0" w:line="276" w:lineRule="auto"/>
        <w:rPr>
          <w:rFonts w:ascii="Arial" w:hAnsi="Arial" w:cs="Arial"/>
          <w:b/>
          <w:bCs/>
          <w:sz w:val="22"/>
          <w:szCs w:val="22"/>
        </w:rPr>
      </w:pPr>
    </w:p>
    <w:p w14:paraId="7F970D1D"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b/>
          <w:bCs/>
          <w:sz w:val="22"/>
          <w:szCs w:val="22"/>
        </w:rPr>
        <w:t>Injection Preparation</w:t>
      </w:r>
    </w:p>
    <w:p w14:paraId="60DF078C" w14:textId="77777777" w:rsidR="009C1AFA" w:rsidRPr="009C1AFA" w:rsidRDefault="5344FB65" w:rsidP="6D3FDA6D">
      <w:pPr>
        <w:spacing w:after="0" w:line="276" w:lineRule="auto"/>
        <w:rPr>
          <w:rFonts w:ascii="Arial" w:hAnsi="Arial" w:cs="Arial"/>
          <w:b/>
          <w:bCs/>
          <w:sz w:val="22"/>
          <w:szCs w:val="22"/>
        </w:rPr>
      </w:pPr>
      <w:r w:rsidRPr="6D3FDA6D">
        <w:rPr>
          <w:rFonts w:ascii="Arial" w:eastAsia="source serif 4" w:hAnsi="Arial" w:cs="Arial"/>
          <w:color w:val="000000" w:themeColor="text1"/>
          <w:sz w:val="22"/>
          <w:szCs w:val="22"/>
        </w:rPr>
        <w:t>Injections were prepared one week prior to surgery, aliquoted, and stored at −20°C until use, with identical formulations used for RLN and SN experiments. Treatment solutions were delivered intramuscularly using sterile 31-gauge, 0.3 mL insulin syringes (NDC# 08290-3284-40, BD, Franklin Lakes, New Jersey), selected for their small bore to minimize tissue trauma during injection.</w:t>
      </w:r>
    </w:p>
    <w:p w14:paraId="673162FE" w14:textId="77777777" w:rsidR="009C1AFA" w:rsidRPr="009C1AFA" w:rsidRDefault="009C1AFA" w:rsidP="335BBD30">
      <w:pPr>
        <w:spacing w:after="0" w:line="276" w:lineRule="auto"/>
        <w:rPr>
          <w:rFonts w:ascii="Arial" w:hAnsi="Arial" w:cs="Arial"/>
          <w:sz w:val="22"/>
          <w:szCs w:val="22"/>
        </w:rPr>
      </w:pPr>
    </w:p>
    <w:p w14:paraId="6CAFA202"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Survival Surgery</w:t>
      </w:r>
    </w:p>
    <w:p w14:paraId="28E70A9C"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Mice were anesthetized using inhaled isoflurane and positioned supine on a surgical platform under a Steindorff Digital Video microscope (New York Microscope Company, Hickman, New York). Ventral neck hair was removed with an electric clipper, and the surgical field was sterilized using alternating applications of iodine and isopropyl alcohol, followed by sterile draping in accordance with IACUC protocol. Preoperative transoral video laryngoscopy was performed to confirm normal baseline vocal fold motion.</w:t>
      </w:r>
    </w:p>
    <w:p w14:paraId="428EBB18" w14:textId="77777777" w:rsidR="009C1AFA" w:rsidRPr="009C1AFA" w:rsidRDefault="009C1AFA" w:rsidP="335BBD30">
      <w:pPr>
        <w:spacing w:after="0" w:line="276" w:lineRule="auto"/>
        <w:rPr>
          <w:rFonts w:ascii="Arial" w:hAnsi="Arial" w:cs="Arial"/>
          <w:sz w:val="22"/>
          <w:szCs w:val="22"/>
        </w:rPr>
      </w:pPr>
    </w:p>
    <w:p w14:paraId="78AC58F0"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For the RLN model, a vertical midline cervical incision was made from the sternal notch to the level of the hyoid bone using a #15 blade scalpel. The submandibular glands were identified and gently mobilized with blunt dissection. The infrahyoid musculature was separated and retracted laterally to expose the underlying pre-tracheal fascia. Using fine dissection and dental microhooks, the fascia was elevated from the trachea at approximately the level of the fourth through sixth tracheal rings.</w:t>
      </w:r>
    </w:p>
    <w:p w14:paraId="06DCEB7F" w14:textId="77777777" w:rsidR="009C1AFA" w:rsidRPr="009C1AFA" w:rsidRDefault="009C1AFA" w:rsidP="335BBD30">
      <w:pPr>
        <w:spacing w:after="0" w:line="276" w:lineRule="auto"/>
        <w:rPr>
          <w:rFonts w:ascii="Arial" w:hAnsi="Arial" w:cs="Arial"/>
          <w:sz w:val="22"/>
          <w:szCs w:val="22"/>
        </w:rPr>
      </w:pPr>
    </w:p>
    <w:p w14:paraId="644327CC"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The right RLN was isolated from the adjacent inferior thyroid artery and sharply transected using microsurgical scissors. A 10 µL injection of the assigned treatment (saline or biomolecule treatment) was delivered transcartilaginously into the ipsilateral TA muscle. No surgical manipulation or injection was performed in uninjured control animals. The midline skin incision was closed using 6-0 Vicryl suture. Following the procedure, video laryngoscopy was repeated to confirm successful RLN </w:t>
      </w:r>
      <w:proofErr w:type="gramStart"/>
      <w:r w:rsidRPr="6D3FDA6D">
        <w:rPr>
          <w:rFonts w:ascii="Arial" w:hAnsi="Arial" w:cs="Arial"/>
          <w:sz w:val="22"/>
          <w:szCs w:val="22"/>
        </w:rPr>
        <w:t>transection</w:t>
      </w:r>
      <w:proofErr w:type="gramEnd"/>
      <w:r w:rsidRPr="6D3FDA6D">
        <w:rPr>
          <w:rFonts w:ascii="Arial" w:hAnsi="Arial" w:cs="Arial"/>
          <w:sz w:val="22"/>
          <w:szCs w:val="22"/>
        </w:rPr>
        <w:t xml:space="preserve">, evidenced by absence of ipsilateral vocal fold mobility. </w:t>
      </w:r>
    </w:p>
    <w:p w14:paraId="7F5AB3F1" w14:textId="77777777" w:rsidR="009C1AFA" w:rsidRPr="009C1AFA" w:rsidRDefault="009C1AFA" w:rsidP="335BBD30">
      <w:pPr>
        <w:spacing w:after="0" w:line="276" w:lineRule="auto"/>
        <w:rPr>
          <w:rFonts w:ascii="Arial" w:hAnsi="Arial" w:cs="Arial"/>
          <w:sz w:val="22"/>
          <w:szCs w:val="22"/>
        </w:rPr>
      </w:pPr>
    </w:p>
    <w:p w14:paraId="55B627E6" w14:textId="77777777" w:rsidR="009C1AFA" w:rsidRPr="009C1AFA" w:rsidRDefault="5344FB65" w:rsidP="335BBD30">
      <w:pPr>
        <w:spacing w:after="0" w:line="276" w:lineRule="auto"/>
        <w:rPr>
          <w:rFonts w:ascii="Arial" w:hAnsi="Arial" w:cs="Arial"/>
          <w:sz w:val="22"/>
          <w:szCs w:val="22"/>
        </w:rPr>
      </w:pPr>
      <w:r w:rsidRPr="6D3FDA6D">
        <w:rPr>
          <w:rFonts w:ascii="Arial" w:hAnsi="Arial" w:cs="Arial"/>
          <w:sz w:val="22"/>
          <w:szCs w:val="22"/>
        </w:rPr>
        <w:t xml:space="preserve">For the SN model, mice were positioned prone and the left hindlimb was prepared in a sterile fashion as described above. A longitudinal skin incision was made along the posterior thigh. Blunt dissection was carried through the intermuscular plane between the gluteal musculature and hamstring muscle group to expose the SN. The nerve was carefully isolated from surrounding connective tissue and identified proximal to its trifurcation. </w:t>
      </w:r>
      <w:r w:rsidRPr="6D3FDA6D">
        <w:rPr>
          <w:rFonts w:ascii="Arial" w:eastAsia="Arial" w:hAnsi="Arial" w:cs="Arial"/>
          <w:color w:val="000000" w:themeColor="text1"/>
          <w:sz w:val="22"/>
          <w:szCs w:val="22"/>
        </w:rPr>
        <w:t>The left SN was transected 3–6 mm proximal to the sciatic trifurcation. T</w:t>
      </w:r>
      <w:r w:rsidRPr="6D3FDA6D">
        <w:rPr>
          <w:rFonts w:ascii="Arial" w:eastAsia="source serif 4" w:hAnsi="Arial" w:cs="Arial"/>
          <w:color w:val="000000" w:themeColor="text1"/>
          <w:sz w:val="22"/>
          <w:szCs w:val="22"/>
        </w:rPr>
        <w:t xml:space="preserve">reatment was administered </w:t>
      </w:r>
      <w:r w:rsidRPr="6D3FDA6D">
        <w:rPr>
          <w:rFonts w:ascii="Arial" w:eastAsia="Arial" w:hAnsi="Arial" w:cs="Arial"/>
          <w:color w:val="000000" w:themeColor="text1"/>
          <w:sz w:val="22"/>
          <w:szCs w:val="22"/>
        </w:rPr>
        <w:t>by the same investigator</w:t>
      </w:r>
      <w:r w:rsidRPr="6D3FDA6D">
        <w:rPr>
          <w:rFonts w:ascii="Arial" w:eastAsia="source serif 4" w:hAnsi="Arial" w:cs="Arial"/>
          <w:color w:val="000000" w:themeColor="text1"/>
          <w:sz w:val="22"/>
          <w:szCs w:val="22"/>
        </w:rPr>
        <w:t xml:space="preserve"> unilaterally to the injured left limb via dual delivery: 40 µL injected into the equatorial midbelly of the left gastrocnemius — identified as the midpoint between the popliteal fossa and the calcaneal tendon insertion to target the motor endplate band - and 10 µL applied topically onto the transected nerve to promote Schwann cell repair. The contralateral right gastrocnemius served as the within-animal uninjured control. </w:t>
      </w:r>
      <w:r w:rsidRPr="6D3FDA6D">
        <w:rPr>
          <w:rFonts w:ascii="Arial" w:hAnsi="Arial" w:cs="Arial"/>
          <w:sz w:val="22"/>
          <w:szCs w:val="22"/>
        </w:rPr>
        <w:t xml:space="preserve">Injection volumes were selected based on prior </w:t>
      </w:r>
      <w:r w:rsidRPr="6D3FDA6D">
        <w:rPr>
          <w:rFonts w:ascii="Arial" w:hAnsi="Arial" w:cs="Arial"/>
          <w:sz w:val="22"/>
          <w:szCs w:val="22"/>
        </w:rPr>
        <w:lastRenderedPageBreak/>
        <w:t>work and pilot testing to maximize intramuscular treatment delivery while minimizing injection-related tissue distension or injury</w:t>
      </w:r>
      <w:proofErr w:type="gramStart"/>
      <w:r w:rsidRPr="6D3FDA6D">
        <w:rPr>
          <w:rFonts w:ascii="Arial" w:hAnsi="Arial" w:cs="Arial"/>
          <w:sz w:val="22"/>
          <w:szCs w:val="22"/>
        </w:rPr>
        <w:t>.</w:t>
      </w:r>
      <w:r w:rsidRPr="6D3FDA6D">
        <w:rPr>
          <w:rFonts w:ascii="Arial" w:hAnsi="Arial" w:cs="Arial"/>
          <w:sz w:val="22"/>
          <w:szCs w:val="22"/>
          <w:vertAlign w:val="superscript"/>
        </w:rPr>
        <w:t>35</w:t>
      </w:r>
      <w:proofErr w:type="gramEnd"/>
      <w:r w:rsidRPr="6D3FDA6D">
        <w:rPr>
          <w:rFonts w:ascii="Arial" w:hAnsi="Arial" w:cs="Arial"/>
          <w:color w:val="EE0000"/>
          <w:sz w:val="22"/>
          <w:szCs w:val="22"/>
          <w:vertAlign w:val="superscript"/>
        </w:rPr>
        <w:t xml:space="preserve"> </w:t>
      </w:r>
      <w:r w:rsidRPr="6D3FDA6D">
        <w:rPr>
          <w:rFonts w:ascii="Arial" w:eastAsia="source serif 4" w:hAnsi="Arial" w:cs="Arial"/>
          <w:color w:val="000000" w:themeColor="text1"/>
          <w:sz w:val="22"/>
          <w:szCs w:val="22"/>
        </w:rPr>
        <w:t xml:space="preserve">The 40 µL gastrocnemius volume was scaled to the larger muscle mass relative to the TA and confirmed in pilot testing to maximize intramuscular distribution while avoiding tissue distension. </w:t>
      </w:r>
      <w:r w:rsidRPr="6D3FDA6D">
        <w:rPr>
          <w:rFonts w:ascii="Arial" w:hAnsi="Arial" w:cs="Arial"/>
          <w:sz w:val="22"/>
          <w:szCs w:val="22"/>
        </w:rPr>
        <w:t>The proximal and distal nerve stumps were positioned adjacent to one another without sutured repair. The hamstring musculature was returned to its native position over the nerve, and the skin incision was closed using 6-0 Vicryl suture.</w:t>
      </w:r>
    </w:p>
    <w:p w14:paraId="48258C6E" w14:textId="77777777" w:rsidR="009C1AFA" w:rsidRPr="009C1AFA" w:rsidRDefault="009C1AFA" w:rsidP="335BBD30">
      <w:pPr>
        <w:spacing w:after="0" w:line="276" w:lineRule="auto"/>
        <w:rPr>
          <w:rFonts w:ascii="Arial" w:hAnsi="Arial" w:cs="Arial"/>
          <w:sz w:val="22"/>
          <w:szCs w:val="22"/>
        </w:rPr>
      </w:pPr>
    </w:p>
    <w:p w14:paraId="638924B0"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Mice were recovered and housed in the Laboratory Animal Resource Center (LARC) at Indiana University in accordance with institutional animal care guidelines. Animals received preoperative extended-release buprenorphine (Ethiqa) for sustained analgesia. Postoperative monitoring was performed daily for one week to assess wound healing, signs of infection, and overall well-being. All animals were maintained with appropriate housing, access to wet food, and standard care in compliance with the Animal Welfare Act. Four mice died due to intraoperative or postoperative complications.</w:t>
      </w:r>
    </w:p>
    <w:p w14:paraId="1F514DC7" w14:textId="77777777" w:rsidR="009C1AFA" w:rsidRPr="009C1AFA" w:rsidRDefault="009C1AFA" w:rsidP="335BBD30">
      <w:pPr>
        <w:spacing w:after="0" w:line="276" w:lineRule="auto"/>
        <w:rPr>
          <w:rFonts w:ascii="Arial" w:hAnsi="Arial" w:cs="Arial"/>
          <w:sz w:val="22"/>
          <w:szCs w:val="22"/>
        </w:rPr>
      </w:pPr>
    </w:p>
    <w:p w14:paraId="0D219CF8"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Electromyography</w:t>
      </w:r>
    </w:p>
    <w:p w14:paraId="5D8F891E"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Electromyographic recordings were obtained to assess neuromuscular activation following nerve stimulation. For the RLN model, bipolar stimulation was delivered using 30-gauge subdermal needle electrodes (F-E2-24, Natus, Middleton, Wisconsin) placed along the nerve under direct visualization. Stimulation of the right and left RLNs was performed sequentially at 5.10 mA with a frequency of 1 Hz. Recording electrodes were positioned using a three-needle configuration consisting of a ground electrode placed in the right hindlimb, a reference electrode in the ipsilateral pectoralis muscle, and a recording electrode inserted into the TA muscle ipsilateral to the stimulated nerve.</w:t>
      </w:r>
    </w:p>
    <w:p w14:paraId="668C387C" w14:textId="77777777" w:rsidR="009C1AFA" w:rsidRPr="009C1AFA" w:rsidRDefault="009C1AFA" w:rsidP="335BBD30">
      <w:pPr>
        <w:spacing w:after="0" w:line="276" w:lineRule="auto"/>
        <w:rPr>
          <w:rFonts w:ascii="Arial" w:hAnsi="Arial" w:cs="Arial"/>
          <w:sz w:val="22"/>
          <w:szCs w:val="22"/>
        </w:rPr>
      </w:pPr>
    </w:p>
    <w:p w14:paraId="2C5FDF2A"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For the SN model, stimulation was applied to the proximal segment of the transected SN at 1.10 mA with a frequency of 1 Hz. A similar three-needle recording configuration was used, with the ground electrode placed at the base of the tail, the reference electrode inserted into the contralateral gastrocnemius muscle, and the recording electrode placed in the ipsilateral gastrocnemius muscle.</w:t>
      </w:r>
    </w:p>
    <w:p w14:paraId="75011A3B" w14:textId="77777777" w:rsidR="009C1AFA" w:rsidRPr="009C1AFA" w:rsidRDefault="009C1AFA" w:rsidP="335BBD30">
      <w:pPr>
        <w:spacing w:after="0" w:line="276" w:lineRule="auto"/>
        <w:rPr>
          <w:rFonts w:ascii="Arial" w:hAnsi="Arial" w:cs="Arial"/>
          <w:sz w:val="22"/>
          <w:szCs w:val="22"/>
        </w:rPr>
      </w:pPr>
    </w:p>
    <w:p w14:paraId="465850AE"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Signals were acquired using an EMG system (UltraPro S100, Natus Medical Incorporated, Middleton, Wisconsin). Evoked responses were quantified by calculating the AUC of the recorded waveform following nerve stimulation. For each nerve and muscle tested, a minimum of three valid responses were recorded per animal. A valid response was defined as a reproducible waveform aligned with the stimulation pulse, demonstrating a clear deflection from baseline above background noise and consistent morphology across repeated trials.</w:t>
      </w:r>
    </w:p>
    <w:p w14:paraId="451BF7CE" w14:textId="77777777" w:rsidR="009C1AFA" w:rsidRPr="009C1AFA" w:rsidRDefault="009C1AFA" w:rsidP="335BBD30">
      <w:pPr>
        <w:spacing w:after="0" w:line="276" w:lineRule="auto"/>
        <w:rPr>
          <w:rFonts w:ascii="Arial" w:hAnsi="Arial" w:cs="Arial"/>
          <w:sz w:val="22"/>
          <w:szCs w:val="22"/>
        </w:rPr>
      </w:pPr>
    </w:p>
    <w:p w14:paraId="5CFE7672"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Videolaryngoscopy Analysis</w:t>
      </w:r>
    </w:p>
    <w:p w14:paraId="2912E0BC"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Videolaryngoscopy was performed using an Ambu Scope 5 Broncho 2.7/1.2 mm single use flexible endoscope. For each mouse, five videos were recorded: (1) pre-transection baseline, (2) immediate post-transection, (3) pre-harvest at 84 days, (4) intraoperative right RLN stimulation, and (5) intraoperative left RLN stimulation. During stimulation recordings, the RLN was </w:t>
      </w:r>
      <w:r w:rsidRPr="6D3FDA6D">
        <w:rPr>
          <w:rFonts w:ascii="Arial" w:hAnsi="Arial" w:cs="Arial"/>
          <w:sz w:val="22"/>
          <w:szCs w:val="22"/>
        </w:rPr>
        <w:lastRenderedPageBreak/>
        <w:t xml:space="preserve">stimulated at 5.1 mA with a frequency of 1 Hz. All videos were de-identified and analyzed in a </w:t>
      </w:r>
      <w:proofErr w:type="gramStart"/>
      <w:r w:rsidRPr="6D3FDA6D">
        <w:rPr>
          <w:rFonts w:ascii="Arial" w:hAnsi="Arial" w:cs="Arial"/>
          <w:sz w:val="22"/>
          <w:szCs w:val="22"/>
        </w:rPr>
        <w:t>blinded</w:t>
      </w:r>
      <w:proofErr w:type="gramEnd"/>
      <w:r w:rsidRPr="6D3FDA6D">
        <w:rPr>
          <w:rFonts w:ascii="Arial" w:hAnsi="Arial" w:cs="Arial"/>
          <w:sz w:val="22"/>
          <w:szCs w:val="22"/>
        </w:rPr>
        <w:t xml:space="preserve"> fashion.</w:t>
      </w:r>
    </w:p>
    <w:p w14:paraId="544466A9" w14:textId="77777777" w:rsidR="009C1AFA" w:rsidRPr="009C1AFA" w:rsidRDefault="009C1AFA" w:rsidP="335BBD30">
      <w:pPr>
        <w:spacing w:after="0" w:line="276" w:lineRule="auto"/>
        <w:rPr>
          <w:rFonts w:ascii="Arial" w:hAnsi="Arial" w:cs="Arial"/>
          <w:sz w:val="22"/>
          <w:szCs w:val="22"/>
        </w:rPr>
      </w:pPr>
    </w:p>
    <w:p w14:paraId="5F233D7B" w14:textId="738FE11E" w:rsidR="009C1AFA" w:rsidRPr="009C1AFA" w:rsidRDefault="5344FB65" w:rsidP="6D3FDA6D">
      <w:pPr>
        <w:spacing w:after="0" w:line="276" w:lineRule="auto"/>
        <w:rPr>
          <w:rFonts w:ascii="Arial" w:hAnsi="Arial" w:cs="Arial"/>
          <w:sz w:val="22"/>
          <w:szCs w:val="22"/>
          <w:vertAlign w:val="superscript"/>
        </w:rPr>
      </w:pPr>
      <w:r w:rsidRPr="6D3FDA6D">
        <w:rPr>
          <w:rFonts w:ascii="Arial" w:hAnsi="Arial" w:cs="Arial"/>
          <w:sz w:val="22"/>
          <w:szCs w:val="22"/>
        </w:rPr>
        <w:t>Spontaneous VF motion was graded using a three-point scale, where 0 indicated complete impairment, 1 indicated partial impairment, and 2 indicated normal motion. Vocal fold position was assessed as 0 (lateral), 1 (mid-lateral), or 2 (midline). For stimulation response assessment, recordings were scored as 0 (no visible movement) or 1 (visible vocal fold adduction in response to ipsilateral RLN stimulation.</w:t>
      </w:r>
      <w:r w:rsidRPr="6D3FDA6D">
        <w:rPr>
          <w:rFonts w:ascii="Arial" w:hAnsi="Arial" w:cs="Arial"/>
          <w:sz w:val="22"/>
          <w:szCs w:val="22"/>
          <w:vertAlign w:val="superscript"/>
        </w:rPr>
        <w:t xml:space="preserve"> 2,5,8,</w:t>
      </w:r>
      <w:proofErr w:type="gramStart"/>
      <w:r w:rsidRPr="6D3FDA6D">
        <w:rPr>
          <w:rFonts w:ascii="Arial" w:hAnsi="Arial" w:cs="Arial"/>
          <w:sz w:val="22"/>
          <w:szCs w:val="22"/>
          <w:vertAlign w:val="superscript"/>
        </w:rPr>
        <w:t>34,</w:t>
      </w:r>
      <w:r w:rsidR="1F090BA1" w:rsidRPr="6D3FDA6D">
        <w:rPr>
          <w:rFonts w:ascii="Arial" w:hAnsi="Arial" w:cs="Arial"/>
          <w:sz w:val="22"/>
          <w:szCs w:val="22"/>
          <w:vertAlign w:val="superscript"/>
        </w:rPr>
        <w:t>S</w:t>
      </w:r>
      <w:proofErr w:type="gramEnd"/>
      <w:r w:rsidR="1F090BA1" w:rsidRPr="6D3FDA6D">
        <w:rPr>
          <w:rFonts w:ascii="Arial" w:hAnsi="Arial" w:cs="Arial"/>
          <w:sz w:val="22"/>
          <w:szCs w:val="22"/>
          <w:vertAlign w:val="superscript"/>
        </w:rPr>
        <w:t>1</w:t>
      </w:r>
    </w:p>
    <w:p w14:paraId="65FA7A96" w14:textId="77777777" w:rsidR="009C1AFA" w:rsidRPr="009C1AFA" w:rsidRDefault="009C1AFA" w:rsidP="335BBD30">
      <w:pPr>
        <w:spacing w:after="0" w:line="276" w:lineRule="auto"/>
        <w:rPr>
          <w:rFonts w:ascii="Arial" w:hAnsi="Arial" w:cs="Arial"/>
          <w:sz w:val="22"/>
          <w:szCs w:val="22"/>
          <w:u w:val="single"/>
        </w:rPr>
      </w:pPr>
    </w:p>
    <w:p w14:paraId="553DC3B4"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Sciatic Functional Assessment</w:t>
      </w:r>
    </w:p>
    <w:p w14:paraId="3D89A9DB"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Mice underwent two habituation sessions prior to surgery. Assessments were performed pre-operatively (Day 0) and post-operatively on Days 3 and 7, then weekly until harvest. During each session, mice </w:t>
      </w:r>
      <w:proofErr w:type="gramStart"/>
      <w:r w:rsidRPr="6D3FDA6D">
        <w:rPr>
          <w:rFonts w:ascii="Arial" w:hAnsi="Arial" w:cs="Arial"/>
          <w:sz w:val="22"/>
          <w:szCs w:val="22"/>
        </w:rPr>
        <w:t>traversed</w:t>
      </w:r>
      <w:proofErr w:type="gramEnd"/>
      <w:r w:rsidRPr="6D3FDA6D">
        <w:rPr>
          <w:rFonts w:ascii="Arial" w:hAnsi="Arial" w:cs="Arial"/>
          <w:sz w:val="22"/>
          <w:szCs w:val="22"/>
        </w:rPr>
        <w:t xml:space="preserve"> the chamber </w:t>
      </w:r>
      <w:proofErr w:type="gramStart"/>
      <w:r w:rsidRPr="6D3FDA6D">
        <w:rPr>
          <w:rFonts w:ascii="Arial" w:hAnsi="Arial" w:cs="Arial"/>
          <w:sz w:val="22"/>
          <w:szCs w:val="22"/>
        </w:rPr>
        <w:t>corridor freely</w:t>
      </w:r>
      <w:proofErr w:type="gramEnd"/>
      <w:r w:rsidRPr="6D3FDA6D">
        <w:rPr>
          <w:rFonts w:ascii="Arial" w:hAnsi="Arial" w:cs="Arial"/>
          <w:sz w:val="22"/>
          <w:szCs w:val="22"/>
        </w:rPr>
        <w:t xml:space="preserve"> for a 5-minute period without external motivation. A compliant run was defined as uninterrupted forward movement generating 10–30 valid paw prints, with at least three compliant runs obtained per session. Automated recordings were manually reviewed to confirm paw assignment accuracy.</w:t>
      </w:r>
    </w:p>
    <w:p w14:paraId="65460BC0" w14:textId="77777777" w:rsidR="009C1AFA" w:rsidRPr="009C1AFA" w:rsidRDefault="009C1AFA" w:rsidP="335BBD30">
      <w:pPr>
        <w:spacing w:after="0" w:line="276" w:lineRule="auto"/>
        <w:rPr>
          <w:rFonts w:ascii="Arial" w:hAnsi="Arial" w:cs="Arial"/>
          <w:sz w:val="22"/>
          <w:szCs w:val="22"/>
        </w:rPr>
      </w:pPr>
    </w:p>
    <w:p w14:paraId="4B3DB2BF"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Tissue Processing and IHC</w:t>
      </w:r>
    </w:p>
    <w:p w14:paraId="18FF15BE"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For RLN analysis, post-mortem larynges were harvested, fixed in 10% neutral buffered formalin for 24 hours, and suspended in warm HistoGel (Catalog# HG-4000-012, Richard-Allan Scientific, Kalamazoo, MI) in a uniform orientation exposing the trachea, then trimmed and paraffin-embedded for coronal sectioning at 5 µm by the Indiana University Histology Core. Because the TA runs anteroposteriorly and slightly laterally, coronal sections of the trachea contain a mix of transverse, longitudinal, and oblique fibers; myofiber size was therefore quantified using the minimum Feret’s diameter (minFeret), which is minimally sensitive to sectioning angle and fiber orientation. Immunohistochemical staining was performed to evaluate NMJ and nerve regeneration using antibodies against acetylcholine receptors (CHRNA1; Catalog# NBP2-81070R, Novus Biologicals, Centennial, Colorado), synaptic vesicle protein 2 (SV2; Catalog# ABIN916918, Antibodies Online, Aachen, Germany), and neurofilament light chain (NFL; Catalog# ab307394, Abcam, Waltham, Massachusetts). For SN analysis, gastrocnemius muscles were harvested, fixed in 10% neutral buffered formalin for 24 hours, transferred to 70% ethanol, and processed by the Indiana University Histology Core. Specimens were paraffin-embedded and sectioned at 5 µm in both cross-sectional and longitudinal orientations. Axonal regeneration was evaluated using chromogenic NFL staining (Catalog# C28E10, Cell Signaling Technology, Danvers, Massachusetts) of nerve fibers within gastrocnemius tissue sections. </w:t>
      </w:r>
    </w:p>
    <w:p w14:paraId="0CF1D106" w14:textId="77777777" w:rsidR="009C1AFA" w:rsidRPr="009C1AFA" w:rsidRDefault="009C1AFA" w:rsidP="335BBD30">
      <w:pPr>
        <w:spacing w:after="0" w:line="276" w:lineRule="auto"/>
        <w:rPr>
          <w:rFonts w:ascii="Arial" w:hAnsi="Arial" w:cs="Arial"/>
          <w:sz w:val="22"/>
          <w:szCs w:val="22"/>
        </w:rPr>
      </w:pPr>
    </w:p>
    <w:p w14:paraId="33EC9318"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Directly conjugated primary antibodies were utilized for immunohistochemical analysis: anti-SV2A (Catalog# ABIN916918, Abcam, Waltham, Massachusetts) to label </w:t>
      </w:r>
      <w:proofErr w:type="gramStart"/>
      <w:r w:rsidRPr="6D3FDA6D">
        <w:rPr>
          <w:rFonts w:ascii="Arial" w:hAnsi="Arial" w:cs="Arial"/>
          <w:sz w:val="22"/>
          <w:szCs w:val="22"/>
        </w:rPr>
        <w:t>pre synaptic</w:t>
      </w:r>
      <w:proofErr w:type="gramEnd"/>
      <w:r w:rsidRPr="6D3FDA6D">
        <w:rPr>
          <w:rFonts w:ascii="Arial" w:hAnsi="Arial" w:cs="Arial"/>
          <w:sz w:val="22"/>
          <w:szCs w:val="22"/>
        </w:rPr>
        <w:t xml:space="preserve"> vesicles and assess neuromuscular reinnervation, neurofilament light chain (NFL) antibody (Catalog# ab307394, Cell Signaling Technology, Danvers, Massachusetts) to identify live neuronal structures, and CHRNA1 (NBP2-81070R, Abcam, Waltham, Massachusetts) to visualize acetylcholine receptors at the neuromuscular junction. Nuclear staining was performed with DAPI.</w:t>
      </w:r>
    </w:p>
    <w:p w14:paraId="15D3D73D" w14:textId="77777777" w:rsidR="009C1AFA" w:rsidRPr="009C1AFA" w:rsidRDefault="009C1AFA" w:rsidP="335BBD30">
      <w:pPr>
        <w:spacing w:after="0" w:line="276" w:lineRule="auto"/>
        <w:rPr>
          <w:rFonts w:ascii="Arial" w:hAnsi="Arial" w:cs="Arial"/>
          <w:sz w:val="22"/>
          <w:szCs w:val="22"/>
        </w:rPr>
      </w:pPr>
    </w:p>
    <w:p w14:paraId="7AF4F8A0"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Assay optimization was initially performed using positive control mouse skeletal muscle and brain. Negative control mouse liver tissue to confirm antibody specificity and staining conditions prior to application in experimental laryngeal samples. Following validation, experimental tissues were processed using a standardized immunofluorescence protocol. Slides were deparaffinized at 60°C for 15–30 minutes and subsequently rehydrated through sequential washes in xylene, graded ethanol, and MilliQ water. Antigen retrieval was performed under high pH conditions for 30 minutes. Tissue sections were then incubated with Leica Novolink protein block for 10 minutes to reduce nonspecific binding.</w:t>
      </w:r>
    </w:p>
    <w:p w14:paraId="22F31E8B" w14:textId="77777777" w:rsidR="009C1AFA" w:rsidRPr="009C1AFA" w:rsidRDefault="009C1AFA" w:rsidP="335BBD30">
      <w:pPr>
        <w:spacing w:after="0" w:line="276" w:lineRule="auto"/>
        <w:rPr>
          <w:rFonts w:ascii="Arial" w:hAnsi="Arial" w:cs="Arial"/>
          <w:sz w:val="22"/>
          <w:szCs w:val="22"/>
        </w:rPr>
      </w:pPr>
    </w:p>
    <w:p w14:paraId="63E77D41"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NFL, CHRNA1, and SV2A antibodies (each at a working concentration of 1 µg/mL) were applied to tissue sections and incubated for 30 minutes. Between each step, slides were washed three times with 1x Tris-buffered saline. Following primary antibody application, sections were counterstained with DAPI (3 mM) for 3 minutes, rinsed in MilliQ water, and coverslipped. Slides were imaged using a Leica DM2500 fluorescence microscope. </w:t>
      </w:r>
    </w:p>
    <w:p w14:paraId="42BD20BF" w14:textId="77777777" w:rsidR="009C1AFA" w:rsidRPr="009C1AFA" w:rsidRDefault="009C1AFA" w:rsidP="335BBD30">
      <w:pPr>
        <w:spacing w:after="0" w:line="276" w:lineRule="auto"/>
        <w:rPr>
          <w:rFonts w:ascii="Arial" w:hAnsi="Arial" w:cs="Arial"/>
          <w:sz w:val="22"/>
          <w:szCs w:val="22"/>
        </w:rPr>
      </w:pPr>
    </w:p>
    <w:p w14:paraId="6C9E1C12" w14:textId="77777777" w:rsidR="009C1AFA" w:rsidRPr="009C1AFA" w:rsidRDefault="06084593" w:rsidP="335BBD30">
      <w:pPr>
        <w:spacing w:after="0" w:line="276" w:lineRule="auto"/>
        <w:rPr>
          <w:rFonts w:ascii="Arial" w:hAnsi="Arial" w:cs="Arial"/>
          <w:sz w:val="22"/>
          <w:szCs w:val="22"/>
        </w:rPr>
      </w:pPr>
      <w:r w:rsidRPr="6D3FDA6D">
        <w:rPr>
          <w:rFonts w:ascii="Arial" w:hAnsi="Arial" w:cs="Arial"/>
          <w:sz w:val="22"/>
          <w:szCs w:val="22"/>
        </w:rPr>
        <w:t xml:space="preserve">For the SN model, separate sections were stained for neurofilament light chain (NFL; Catalog# C28E10) using a chromogenic protocol, low pH antigen retrieval, and with hematoxylin counterstain. For SN analysis, gastrocnemius muscles were harvested, fixed in 10% neutral buffered formalin for 24 hours, transferred to 70% ethanol, and processed by the Indiana University Histology Core. Specimens were paraffin-embedded and sectioned at 5 µm in both cross-sectional and longitudinal orientations. Axonal regeneration was evaluated using chromogenic NFL staining (Catalog# C28E10, Cell Signaling Technology, Danvers, Massachusetts) of nerve fibers within gastrocnemius tissue sections. </w:t>
      </w:r>
    </w:p>
    <w:p w14:paraId="08A7D2D5" w14:textId="77777777" w:rsidR="009C1AFA" w:rsidRPr="009C1AFA" w:rsidRDefault="009C1AFA" w:rsidP="335BBD30">
      <w:pPr>
        <w:spacing w:after="0" w:line="276" w:lineRule="auto"/>
        <w:rPr>
          <w:rFonts w:ascii="Arial" w:hAnsi="Arial" w:cs="Arial"/>
          <w:sz w:val="22"/>
          <w:szCs w:val="22"/>
        </w:rPr>
      </w:pPr>
    </w:p>
    <w:p w14:paraId="294FE543" w14:textId="77777777" w:rsidR="009C1AFA" w:rsidRPr="009C1AFA" w:rsidRDefault="06084593" w:rsidP="335BBD30">
      <w:pPr>
        <w:spacing w:after="0" w:line="276" w:lineRule="auto"/>
        <w:rPr>
          <w:rFonts w:ascii="Arial" w:hAnsi="Arial" w:cs="Arial"/>
          <w:sz w:val="22"/>
          <w:szCs w:val="22"/>
          <w:u w:val="single"/>
        </w:rPr>
      </w:pPr>
      <w:r w:rsidRPr="6D3FDA6D">
        <w:rPr>
          <w:rFonts w:ascii="Arial" w:hAnsi="Arial" w:cs="Arial"/>
          <w:sz w:val="22"/>
          <w:szCs w:val="22"/>
          <w:u w:val="single"/>
        </w:rPr>
        <w:t>Discussion</w:t>
      </w:r>
    </w:p>
    <w:p w14:paraId="791AF16F" w14:textId="77777777" w:rsidR="009C1AFA" w:rsidRPr="009C1AFA" w:rsidRDefault="009C1AFA" w:rsidP="335BBD30">
      <w:pPr>
        <w:spacing w:after="0" w:line="276" w:lineRule="auto"/>
        <w:rPr>
          <w:rFonts w:ascii="Arial" w:hAnsi="Arial" w:cs="Arial"/>
          <w:sz w:val="22"/>
          <w:szCs w:val="22"/>
        </w:rPr>
      </w:pPr>
    </w:p>
    <w:p w14:paraId="19AD3513" w14:textId="77777777" w:rsidR="009C1AFA" w:rsidRPr="009C1AFA" w:rsidRDefault="5344FB65" w:rsidP="6D3FDA6D">
      <w:pPr>
        <w:spacing w:after="0" w:line="276" w:lineRule="auto"/>
        <w:rPr>
          <w:rFonts w:ascii="Arial" w:hAnsi="Arial" w:cs="Arial"/>
          <w:sz w:val="22"/>
          <w:szCs w:val="22"/>
        </w:rPr>
      </w:pPr>
      <w:r w:rsidRPr="6D3FDA6D">
        <w:rPr>
          <w:rFonts w:ascii="Arial" w:hAnsi="Arial" w:cs="Arial"/>
          <w:b/>
          <w:bCs/>
          <w:sz w:val="22"/>
          <w:szCs w:val="22"/>
        </w:rPr>
        <w:t>Model Selection</w:t>
      </w:r>
      <w:r w:rsidR="1F846D86">
        <w:br/>
      </w:r>
      <w:r w:rsidRPr="6D3FDA6D">
        <w:rPr>
          <w:rFonts w:ascii="Arial" w:hAnsi="Arial" w:cs="Arial"/>
          <w:sz w:val="22"/>
          <w:szCs w:val="22"/>
        </w:rPr>
        <w:t>A rodent RLN transection model without formal repair was selected because RLN injury in rats and mice is followed by efficient spontaneous reinnervation at the neuromuscular junction level. In a rat model where an RLN segment was resected and left unrepaired, immunohistologic analysis showed axons regenerating across the gap into the distal RLN and forming intact TA neuromuscular junctions, with approximately 49% of normal motor endplate counts present at 4 weeks and 88% by 12 weeks, confirming robust spontaneous motor endplate reinnervation in this system.</w:t>
      </w:r>
      <w:r w:rsidRPr="6D3FDA6D">
        <w:rPr>
          <w:rFonts w:ascii="Arial" w:hAnsi="Arial" w:cs="Arial"/>
          <w:sz w:val="22"/>
          <w:szCs w:val="22"/>
          <w:vertAlign w:val="superscript"/>
        </w:rPr>
        <w:t>24</w:t>
      </w:r>
      <w:r w:rsidRPr="6D3FDA6D">
        <w:rPr>
          <w:rFonts w:ascii="Arial" w:hAnsi="Arial" w:cs="Arial"/>
          <w:sz w:val="22"/>
          <w:szCs w:val="22"/>
        </w:rPr>
        <w:t xml:space="preserve"> Electrophysiologic studies in rat RLN crush models further demonstrate that recovery is frequently synkinetic: motor unit potentials and gross vocal fold motion normalize at mild injury, yet abnormal co</w:t>
      </w:r>
      <w:r w:rsidR="1F846D86">
        <w:noBreakHyphen/>
      </w:r>
      <w:r w:rsidRPr="6D3FDA6D">
        <w:rPr>
          <w:rFonts w:ascii="Arial" w:hAnsi="Arial" w:cs="Arial"/>
          <w:sz w:val="22"/>
          <w:szCs w:val="22"/>
        </w:rPr>
        <w:t>activation patterns emerge as injury severity increases, indicating misrouted or nonselective reinnervation of adductor and abductor pools.</w:t>
      </w:r>
      <w:r w:rsidRPr="6D3FDA6D">
        <w:rPr>
          <w:rFonts w:ascii="Arial" w:hAnsi="Arial" w:cs="Arial"/>
          <w:sz w:val="22"/>
          <w:szCs w:val="22"/>
          <w:vertAlign w:val="superscript"/>
        </w:rPr>
        <w:t xml:space="preserve">8 </w:t>
      </w:r>
      <w:r w:rsidRPr="6D3FDA6D">
        <w:rPr>
          <w:rFonts w:ascii="Arial" w:hAnsi="Arial" w:cs="Arial"/>
          <w:sz w:val="22"/>
          <w:szCs w:val="22"/>
        </w:rPr>
        <w:t>Together, these findings highlight both the strength and limitation of the murine RLN model: it is well suited for screening interventions that enhance motor endplate reinnervation and local adductor recovery in a short</w:t>
      </w:r>
      <w:r w:rsidR="1F846D86">
        <w:noBreakHyphen/>
      </w:r>
      <w:r w:rsidRPr="6D3FDA6D">
        <w:rPr>
          <w:rFonts w:ascii="Arial" w:hAnsi="Arial" w:cs="Arial"/>
          <w:sz w:val="22"/>
          <w:szCs w:val="22"/>
        </w:rPr>
        <w:t>gap motor nerve, which aligned with the present study’s focus on TA</w:t>
      </w:r>
      <w:r w:rsidR="1F846D86">
        <w:noBreakHyphen/>
      </w:r>
      <w:r w:rsidRPr="6D3FDA6D">
        <w:rPr>
          <w:rFonts w:ascii="Arial" w:hAnsi="Arial" w:cs="Arial"/>
          <w:sz w:val="22"/>
          <w:szCs w:val="22"/>
        </w:rPr>
        <w:t>mediated glottic medialization, but its strong baseline propensity for spontaneous, often synkinetic reinnervation makes it an imperfect proxy for long</w:t>
      </w:r>
      <w:r w:rsidR="1F846D86">
        <w:noBreakHyphen/>
      </w:r>
      <w:r w:rsidRPr="6D3FDA6D">
        <w:rPr>
          <w:rFonts w:ascii="Arial" w:hAnsi="Arial" w:cs="Arial"/>
          <w:sz w:val="22"/>
          <w:szCs w:val="22"/>
        </w:rPr>
        <w:t xml:space="preserve">distance regeneration in larger mixed nerves and limits detailed modeling of clinically relevant synkinesis. </w:t>
      </w:r>
    </w:p>
    <w:p w14:paraId="24D9D639" w14:textId="77777777" w:rsidR="009C1AFA" w:rsidRPr="009C1AFA" w:rsidRDefault="009C1AFA" w:rsidP="335BBD30">
      <w:pPr>
        <w:spacing w:after="0" w:line="276" w:lineRule="auto"/>
        <w:rPr>
          <w:rFonts w:ascii="Arial" w:hAnsi="Arial" w:cs="Arial"/>
          <w:sz w:val="22"/>
          <w:szCs w:val="22"/>
        </w:rPr>
      </w:pPr>
    </w:p>
    <w:p w14:paraId="53FC04A6" w14:textId="77777777" w:rsidR="009C1AFA" w:rsidRPr="009C1AFA" w:rsidRDefault="06084593" w:rsidP="335BBD30">
      <w:pPr>
        <w:spacing w:after="0" w:line="276" w:lineRule="auto"/>
        <w:rPr>
          <w:rFonts w:ascii="Arial" w:hAnsi="Arial" w:cs="Arial"/>
          <w:b/>
          <w:bCs/>
          <w:sz w:val="22"/>
          <w:szCs w:val="22"/>
        </w:rPr>
      </w:pPr>
      <w:r w:rsidRPr="6D3FDA6D">
        <w:rPr>
          <w:rFonts w:ascii="Arial" w:hAnsi="Arial" w:cs="Arial"/>
          <w:b/>
          <w:bCs/>
          <w:sz w:val="22"/>
          <w:szCs w:val="22"/>
        </w:rPr>
        <w:t>Agrin/NRG1/ACh Rationale</w:t>
      </w:r>
    </w:p>
    <w:p w14:paraId="064B3A23" w14:textId="77777777" w:rsidR="009C1AFA" w:rsidRPr="009C1AFA" w:rsidRDefault="5344FB65" w:rsidP="6D3FDA6D">
      <w:pPr>
        <w:spacing w:after="0" w:line="276" w:lineRule="auto"/>
        <w:rPr>
          <w:rFonts w:ascii="Arial" w:hAnsi="Arial" w:cs="Arial"/>
          <w:sz w:val="22"/>
          <w:szCs w:val="22"/>
          <w:vertAlign w:val="superscript"/>
        </w:rPr>
      </w:pPr>
      <w:r w:rsidRPr="6D3FDA6D">
        <w:rPr>
          <w:rFonts w:ascii="Arial" w:hAnsi="Arial" w:cs="Arial"/>
          <w:sz w:val="22"/>
          <w:szCs w:val="22"/>
        </w:rPr>
        <w:t>Agrin, NRG1, and ACh were combined in this biomolecule strategy based on their complementary roles in NMJ formation, stabilization, and repair. Agrin-LRP4-MuSK signaling clusters and stabilizes nicotinic AChRs at the postsynaptic membrane, driving motor endplate formation and maintaining receptor stability in denervated muscle, with neural Agrin able to increase junctional AChR half</w:t>
      </w:r>
      <w:r w:rsidR="1F846D86">
        <w:noBreakHyphen/>
      </w:r>
      <w:r w:rsidRPr="6D3FDA6D">
        <w:rPr>
          <w:rFonts w:ascii="Arial" w:hAnsi="Arial" w:cs="Arial"/>
          <w:sz w:val="22"/>
          <w:szCs w:val="22"/>
        </w:rPr>
        <w:t>life from approximately 1 day to approximately 10 days in adult denervated fibers.</w:t>
      </w:r>
      <w:r w:rsidRPr="6D3FDA6D">
        <w:rPr>
          <w:rFonts w:ascii="Arial" w:hAnsi="Arial" w:cs="Arial"/>
          <w:sz w:val="22"/>
          <w:szCs w:val="22"/>
          <w:vertAlign w:val="superscript"/>
        </w:rPr>
        <w:t>27</w:t>
      </w:r>
      <w:r w:rsidRPr="6D3FDA6D">
        <w:rPr>
          <w:rFonts w:ascii="Arial" w:hAnsi="Arial" w:cs="Arial"/>
          <w:sz w:val="22"/>
          <w:szCs w:val="22"/>
        </w:rPr>
        <w:t xml:space="preserve"> NRG1-ErbB signaling provides the transcriptional and glial repair component: neuregulins are concentrated at NMJs, activate AChR gene expression, and modulate Schwann cell survival and dedifferentiation into a repair phenotype that supports Wallerian degeneration, myelin clearance, macrophage recruitment, and subsequent axonal regeneration.</w:t>
      </w:r>
      <w:r w:rsidRPr="6D3FDA6D">
        <w:rPr>
          <w:rFonts w:ascii="Arial" w:hAnsi="Arial" w:cs="Arial"/>
          <w:sz w:val="22"/>
          <w:szCs w:val="22"/>
          <w:vertAlign w:val="superscript"/>
        </w:rPr>
        <w:t>28</w:t>
      </w:r>
      <w:r w:rsidRPr="6D3FDA6D">
        <w:rPr>
          <w:rFonts w:ascii="Arial" w:hAnsi="Arial" w:cs="Arial"/>
          <w:sz w:val="22"/>
          <w:szCs w:val="22"/>
        </w:rPr>
        <w:t xml:space="preserve"> Together, these pathways create a receptive postsynaptic apparatus and a Schwann cell repair environment that favor reinnervation of denervated motor endplates while supporting muscle health.</w:t>
      </w:r>
      <w:r w:rsidRPr="6D3FDA6D">
        <w:rPr>
          <w:rFonts w:ascii="Arial" w:hAnsi="Arial" w:cs="Arial"/>
          <w:sz w:val="22"/>
          <w:szCs w:val="22"/>
          <w:vertAlign w:val="superscript"/>
        </w:rPr>
        <w:t>25-30</w:t>
      </w:r>
    </w:p>
    <w:p w14:paraId="0F01FE6D" w14:textId="77777777" w:rsidR="009C1AFA" w:rsidRPr="009C1AFA" w:rsidRDefault="009C1AFA" w:rsidP="6D3FDA6D">
      <w:pPr>
        <w:spacing w:after="0" w:line="276" w:lineRule="auto"/>
        <w:rPr>
          <w:rFonts w:ascii="Arial" w:hAnsi="Arial" w:cs="Arial"/>
          <w:sz w:val="22"/>
          <w:szCs w:val="22"/>
        </w:rPr>
      </w:pPr>
    </w:p>
    <w:p w14:paraId="5A8A476E" w14:textId="77777777" w:rsidR="009C1AFA" w:rsidRPr="009C1AFA" w:rsidRDefault="5344FB65" w:rsidP="6D3FDA6D">
      <w:pPr>
        <w:spacing w:after="0" w:line="276" w:lineRule="auto"/>
        <w:rPr>
          <w:rFonts w:ascii="Arial" w:hAnsi="Arial" w:cs="Arial"/>
          <w:sz w:val="22"/>
          <w:szCs w:val="22"/>
        </w:rPr>
      </w:pPr>
      <w:r w:rsidRPr="6D3FDA6D">
        <w:rPr>
          <w:rFonts w:ascii="Arial" w:hAnsi="Arial" w:cs="Arial"/>
          <w:sz w:val="22"/>
          <w:szCs w:val="22"/>
        </w:rPr>
        <w:t>Consistent with this concept, our prior work has shown that ex vivo exposure of autologous muscle progenitor cells to Agrin/NRG1/ACh induces robust motor endplate formation, generating motor endplate</w:t>
      </w:r>
      <w:r w:rsidR="1F846D86">
        <w:noBreakHyphen/>
      </w:r>
      <w:r w:rsidRPr="6D3FDA6D">
        <w:rPr>
          <w:rFonts w:ascii="Arial" w:hAnsi="Arial" w:cs="Arial"/>
          <w:sz w:val="22"/>
          <w:szCs w:val="22"/>
        </w:rPr>
        <w:t>expressing muscle cells (MEEs) that innately secrete neurotrophic and angiogenic factors.</w:t>
      </w:r>
      <w:r w:rsidRPr="6D3FDA6D">
        <w:rPr>
          <w:rFonts w:ascii="Arial" w:hAnsi="Arial" w:cs="Arial"/>
          <w:sz w:val="22"/>
          <w:szCs w:val="22"/>
          <w:vertAlign w:val="superscript"/>
        </w:rPr>
        <w:t>16</w:t>
      </w:r>
      <w:r w:rsidRPr="6D3FDA6D">
        <w:rPr>
          <w:rFonts w:ascii="Arial" w:hAnsi="Arial" w:cs="Arial"/>
          <w:sz w:val="22"/>
          <w:szCs w:val="22"/>
        </w:rPr>
        <w:t xml:space="preserve"> When injected into denervated laryngeal muscle in large animal models, MEEs fuse with host myofibers, establishing non</w:t>
      </w:r>
      <w:r w:rsidR="1F846D86">
        <w:noBreakHyphen/>
      </w:r>
      <w:r w:rsidRPr="6D3FDA6D">
        <w:rPr>
          <w:rFonts w:ascii="Arial" w:hAnsi="Arial" w:cs="Arial"/>
          <w:sz w:val="22"/>
          <w:szCs w:val="22"/>
        </w:rPr>
        <w:t>innervated motor endplates within the target muscle and triggering sustained upregulation of key neurotrophic (BDNF, NGF, NTF3, NTF4, NTN1), angiogenic (NOS3, VEGFA), and NMJ</w:t>
      </w:r>
      <w:r w:rsidR="1F846D86">
        <w:noBreakHyphen/>
      </w:r>
      <w:r w:rsidRPr="6D3FDA6D">
        <w:rPr>
          <w:rFonts w:ascii="Arial" w:hAnsi="Arial" w:cs="Arial"/>
          <w:sz w:val="22"/>
          <w:szCs w:val="22"/>
        </w:rPr>
        <w:t>related (AGRN, CHRNA1, MUSK) genes for at least one month, with normalization as reinnervation is achieved.</w:t>
      </w:r>
      <w:r w:rsidRPr="6D3FDA6D">
        <w:rPr>
          <w:rFonts w:ascii="Arial" w:hAnsi="Arial" w:cs="Arial"/>
          <w:sz w:val="22"/>
          <w:szCs w:val="22"/>
          <w:vertAlign w:val="superscript"/>
        </w:rPr>
        <w:t>17</w:t>
      </w:r>
      <w:r w:rsidRPr="6D3FDA6D">
        <w:rPr>
          <w:rFonts w:ascii="Arial" w:hAnsi="Arial" w:cs="Arial"/>
          <w:sz w:val="22"/>
          <w:szCs w:val="22"/>
        </w:rPr>
        <w:t xml:space="preserve"> These data support a two</w:t>
      </w:r>
      <w:r w:rsidR="1F846D86">
        <w:noBreakHyphen/>
      </w:r>
      <w:r w:rsidRPr="6D3FDA6D">
        <w:rPr>
          <w:rFonts w:ascii="Arial" w:hAnsi="Arial" w:cs="Arial"/>
          <w:sz w:val="22"/>
          <w:szCs w:val="22"/>
        </w:rPr>
        <w:t>step mechanism in which localized motor endplate induction by Agrin/NRG1/ACh places the muscle in a “denervated endplate</w:t>
      </w:r>
      <w:r w:rsidR="1F846D86">
        <w:noBreakHyphen/>
      </w:r>
      <w:r w:rsidRPr="6D3FDA6D">
        <w:rPr>
          <w:rFonts w:ascii="Arial" w:hAnsi="Arial" w:cs="Arial"/>
          <w:sz w:val="22"/>
          <w:szCs w:val="22"/>
        </w:rPr>
        <w:t xml:space="preserve">rich” state that drives autocrine and paracrine release of cytokines supporting axonal ingrowth and revascularization, rather than directly determining central motor mapping. </w:t>
      </w:r>
    </w:p>
    <w:p w14:paraId="05E32AC5" w14:textId="77777777" w:rsidR="009C1AFA" w:rsidRPr="009C1AFA" w:rsidRDefault="009C1AFA" w:rsidP="6D3FDA6D">
      <w:pPr>
        <w:spacing w:after="0" w:line="276" w:lineRule="auto"/>
        <w:rPr>
          <w:rFonts w:ascii="Arial" w:hAnsi="Arial" w:cs="Arial"/>
          <w:sz w:val="22"/>
          <w:szCs w:val="22"/>
        </w:rPr>
      </w:pPr>
    </w:p>
    <w:p w14:paraId="76EC78F1" w14:textId="5A46E9EA" w:rsidR="009C1AFA" w:rsidRPr="009C1AFA" w:rsidRDefault="5344FB65" w:rsidP="6D3FDA6D">
      <w:pPr>
        <w:spacing w:after="0" w:line="276" w:lineRule="auto"/>
        <w:rPr>
          <w:rFonts w:ascii="Arial" w:hAnsi="Arial" w:cs="Arial"/>
          <w:sz w:val="22"/>
          <w:szCs w:val="22"/>
        </w:rPr>
      </w:pPr>
      <w:r w:rsidRPr="6D3FDA6D">
        <w:rPr>
          <w:rFonts w:ascii="Arial" w:hAnsi="Arial" w:cs="Arial"/>
          <w:sz w:val="22"/>
          <w:szCs w:val="22"/>
        </w:rPr>
        <w:t>Finally, the inclusion of ACh in the current formulation was driven by in vitro data showing activity</w:t>
      </w:r>
      <w:r w:rsidR="1F846D86">
        <w:noBreakHyphen/>
      </w:r>
      <w:r w:rsidRPr="6D3FDA6D">
        <w:rPr>
          <w:rFonts w:ascii="Arial" w:hAnsi="Arial" w:cs="Arial"/>
          <w:sz w:val="22"/>
          <w:szCs w:val="22"/>
        </w:rPr>
        <w:t>dependent receptor engagement and early synaptic stabilization;</w:t>
      </w:r>
      <w:r w:rsidRPr="6D3FDA6D">
        <w:rPr>
          <w:rFonts w:ascii="Arial" w:hAnsi="Arial" w:cs="Arial"/>
          <w:sz w:val="22"/>
          <w:szCs w:val="22"/>
          <w:vertAlign w:val="superscript"/>
        </w:rPr>
        <w:t xml:space="preserve">14-17 </w:t>
      </w:r>
      <w:r w:rsidRPr="6D3FDA6D">
        <w:rPr>
          <w:rFonts w:ascii="Arial" w:hAnsi="Arial" w:cs="Arial"/>
          <w:sz w:val="22"/>
          <w:szCs w:val="22"/>
        </w:rPr>
        <w:t>however, at the NMJ ACh is hydrolyzed by acetylcholinesterase with a synaptic half</w:t>
      </w:r>
      <w:r w:rsidR="1F846D86">
        <w:noBreakHyphen/>
      </w:r>
      <w:r w:rsidRPr="6D3FDA6D">
        <w:rPr>
          <w:rFonts w:ascii="Arial" w:hAnsi="Arial" w:cs="Arial"/>
          <w:sz w:val="22"/>
          <w:szCs w:val="22"/>
        </w:rPr>
        <w:t>life on the order of 1–2 milliseconds, whereas junctional AChRs and associated structural proteins turn over over days, making sustained pharmacologic effects from exogenous ACh unlikely after intramuscular delivery.</w:t>
      </w:r>
      <w:r w:rsidR="41D08E62" w:rsidRPr="6D3FDA6D">
        <w:rPr>
          <w:rFonts w:ascii="Arial" w:hAnsi="Arial" w:cs="Arial"/>
          <w:sz w:val="22"/>
          <w:szCs w:val="22"/>
          <w:vertAlign w:val="superscript"/>
        </w:rPr>
        <w:t>S2</w:t>
      </w:r>
      <w:r w:rsidRPr="6D3FDA6D">
        <w:rPr>
          <w:rFonts w:ascii="Arial" w:hAnsi="Arial" w:cs="Arial"/>
          <w:sz w:val="22"/>
          <w:szCs w:val="22"/>
          <w:vertAlign w:val="superscript"/>
        </w:rPr>
        <w:t xml:space="preserve">  </w:t>
      </w:r>
      <w:r w:rsidRPr="6D3FDA6D">
        <w:rPr>
          <w:rFonts w:ascii="Arial" w:hAnsi="Arial" w:cs="Arial"/>
          <w:sz w:val="22"/>
          <w:szCs w:val="22"/>
        </w:rPr>
        <w:t>Based on this kinetic constraint and the strong mechanistic support for Agrin and NRG1 as the core NMJ</w:t>
      </w:r>
      <w:r w:rsidR="1F846D86">
        <w:noBreakHyphen/>
      </w:r>
      <w:r w:rsidRPr="6D3FDA6D">
        <w:rPr>
          <w:rFonts w:ascii="Arial" w:hAnsi="Arial" w:cs="Arial"/>
          <w:sz w:val="22"/>
          <w:szCs w:val="22"/>
        </w:rPr>
        <w:t>stabilizing and Schwann cell repair ligands, future studies will focus on Agrin/NRG1 combinations without exogenous ACh to simplify the formulation while retaining the key biologic drivers of motor endplate maintenance and neuromuscular repair.</w:t>
      </w:r>
    </w:p>
    <w:p w14:paraId="68E8AA49" w14:textId="77777777" w:rsidR="009C1AFA" w:rsidRPr="009C1AFA" w:rsidRDefault="009C1AFA" w:rsidP="335BBD30">
      <w:pPr>
        <w:spacing w:after="0" w:line="276" w:lineRule="auto"/>
        <w:rPr>
          <w:rFonts w:ascii="Arial" w:hAnsi="Arial" w:cs="Arial"/>
          <w:sz w:val="22"/>
          <w:szCs w:val="22"/>
        </w:rPr>
      </w:pPr>
    </w:p>
    <w:p w14:paraId="40D9B2B9" w14:textId="77777777" w:rsidR="009C1AFA" w:rsidRPr="009C1AFA" w:rsidRDefault="06084593" w:rsidP="335BBD30">
      <w:pPr>
        <w:spacing w:after="0" w:line="276" w:lineRule="auto"/>
        <w:rPr>
          <w:rFonts w:ascii="Arial" w:hAnsi="Arial" w:cs="Arial"/>
          <w:sz w:val="22"/>
          <w:szCs w:val="22"/>
          <w:u w:val="single"/>
        </w:rPr>
      </w:pPr>
      <w:r w:rsidRPr="6D3FDA6D">
        <w:rPr>
          <w:rFonts w:ascii="Arial" w:hAnsi="Arial" w:cs="Arial"/>
          <w:sz w:val="22"/>
          <w:szCs w:val="22"/>
          <w:u w:val="single"/>
        </w:rPr>
        <w:t>Limitations</w:t>
      </w:r>
    </w:p>
    <w:p w14:paraId="7AAA34E0" w14:textId="77777777" w:rsidR="009C1AFA" w:rsidRPr="009C1AFA" w:rsidRDefault="009C1AFA" w:rsidP="335BBD30">
      <w:pPr>
        <w:spacing w:after="0" w:line="276" w:lineRule="auto"/>
        <w:rPr>
          <w:rFonts w:ascii="Arial" w:hAnsi="Arial" w:cs="Arial"/>
          <w:sz w:val="22"/>
          <w:szCs w:val="22"/>
        </w:rPr>
      </w:pPr>
    </w:p>
    <w:p w14:paraId="2889414A" w14:textId="04B10E65" w:rsidR="00FE0636" w:rsidRPr="009C1AFA" w:rsidRDefault="37234C8C" w:rsidP="6D3FDA6D">
      <w:pPr>
        <w:spacing w:after="0" w:line="276" w:lineRule="auto"/>
        <w:rPr>
          <w:rFonts w:ascii="Arial" w:hAnsi="Arial" w:cs="Arial"/>
          <w:sz w:val="22"/>
          <w:szCs w:val="22"/>
        </w:rPr>
      </w:pPr>
      <w:r w:rsidRPr="6D3FDA6D">
        <w:rPr>
          <w:rFonts w:ascii="Arial" w:hAnsi="Arial" w:cs="Arial"/>
          <w:sz w:val="22"/>
          <w:szCs w:val="22"/>
        </w:rPr>
        <w:t xml:space="preserve">Electrophysiologic assessment in the RLN model was limited to the TA muscle, and reinnervation of other intrinsic laryngeal muscles was not evaluated, limiting assessment of functional recovery across the full laryngeal motor system. In this small-animal model, attempts </w:t>
      </w:r>
      <w:r w:rsidRPr="6D3FDA6D">
        <w:rPr>
          <w:rFonts w:ascii="Arial" w:hAnsi="Arial" w:cs="Arial"/>
          <w:sz w:val="22"/>
          <w:szCs w:val="22"/>
        </w:rPr>
        <w:lastRenderedPageBreak/>
        <w:t>to obtain posterior cricoarytenoid EMG recordings produced mucosal edema and airway compromise, and high-quality signals could not be obtained safely; electrophysiologic assessment was therefore limited to nerve conduction responses within the injected site. This remains a shortcoming of the current work, and future studies in larger-animal models will incorporate PCA EMG and quantitative vocal fold motion analysis to characterize synkinetic reinnervation patterns and more comprehensively assess laryngeal functional recovery.</w:t>
      </w:r>
    </w:p>
    <w:p w14:paraId="1EC813A5" w14:textId="6D5EC4AE" w:rsidR="77F5373D" w:rsidRDefault="77F5373D" w:rsidP="335BBD30">
      <w:pPr>
        <w:spacing w:after="0" w:line="276" w:lineRule="auto"/>
        <w:rPr>
          <w:rFonts w:ascii="Arial" w:hAnsi="Arial" w:cs="Arial"/>
          <w:sz w:val="22"/>
          <w:szCs w:val="22"/>
        </w:rPr>
      </w:pPr>
    </w:p>
    <w:p w14:paraId="7FBF9DC6" w14:textId="5BFC50E8" w:rsidR="335BBD30" w:rsidRDefault="335BBD30" w:rsidP="335BBD30">
      <w:pPr>
        <w:spacing w:after="0" w:line="276" w:lineRule="auto"/>
        <w:rPr>
          <w:rFonts w:ascii="Arial" w:hAnsi="Arial" w:cs="Arial"/>
          <w:sz w:val="22"/>
          <w:szCs w:val="22"/>
        </w:rPr>
      </w:pPr>
    </w:p>
    <w:p w14:paraId="12EDDE6C" w14:textId="597946E4" w:rsidR="335BBD30" w:rsidRDefault="335BBD30" w:rsidP="335BBD30">
      <w:pPr>
        <w:spacing w:after="0" w:line="276" w:lineRule="auto"/>
        <w:rPr>
          <w:rFonts w:ascii="Arial" w:hAnsi="Arial" w:cs="Arial"/>
          <w:sz w:val="22"/>
          <w:szCs w:val="22"/>
        </w:rPr>
      </w:pPr>
    </w:p>
    <w:p w14:paraId="3EB14544" w14:textId="3F158933" w:rsidR="335BBD30" w:rsidRDefault="335BBD30" w:rsidP="335BBD30">
      <w:pPr>
        <w:spacing w:after="0" w:line="276" w:lineRule="auto"/>
        <w:rPr>
          <w:rFonts w:ascii="Arial" w:hAnsi="Arial" w:cs="Arial"/>
          <w:sz w:val="22"/>
          <w:szCs w:val="22"/>
        </w:rPr>
      </w:pPr>
    </w:p>
    <w:p w14:paraId="16CFABF6" w14:textId="78F1B7BA" w:rsidR="5AC4C81C" w:rsidRDefault="5AC4C81C" w:rsidP="5AC4C81C">
      <w:pPr>
        <w:spacing w:after="0" w:line="276" w:lineRule="auto"/>
        <w:rPr>
          <w:rFonts w:ascii="Arial" w:hAnsi="Arial" w:cs="Arial"/>
          <w:b/>
          <w:bCs/>
          <w:sz w:val="22"/>
          <w:szCs w:val="22"/>
        </w:rPr>
      </w:pPr>
    </w:p>
    <w:p w14:paraId="794D3DE5" w14:textId="77777777" w:rsidR="009571DC" w:rsidRDefault="009571DC" w:rsidP="5AC4C81C">
      <w:pPr>
        <w:spacing w:after="0" w:line="276" w:lineRule="auto"/>
        <w:rPr>
          <w:rFonts w:ascii="Arial" w:hAnsi="Arial" w:cs="Arial"/>
          <w:b/>
          <w:bCs/>
          <w:sz w:val="22"/>
          <w:szCs w:val="22"/>
        </w:rPr>
      </w:pPr>
    </w:p>
    <w:p w14:paraId="47DDC7FD" w14:textId="77777777" w:rsidR="009571DC" w:rsidRDefault="009571DC" w:rsidP="5AC4C81C">
      <w:pPr>
        <w:spacing w:after="0" w:line="276" w:lineRule="auto"/>
        <w:rPr>
          <w:rFonts w:ascii="Arial" w:hAnsi="Arial" w:cs="Arial"/>
          <w:b/>
          <w:bCs/>
          <w:sz w:val="22"/>
          <w:szCs w:val="22"/>
        </w:rPr>
      </w:pPr>
    </w:p>
    <w:p w14:paraId="2A3C2F08" w14:textId="77777777" w:rsidR="009571DC" w:rsidRDefault="009571DC" w:rsidP="5AC4C81C">
      <w:pPr>
        <w:spacing w:after="0" w:line="276" w:lineRule="auto"/>
        <w:rPr>
          <w:rFonts w:ascii="Arial" w:hAnsi="Arial" w:cs="Arial"/>
          <w:b/>
          <w:bCs/>
          <w:sz w:val="22"/>
          <w:szCs w:val="22"/>
        </w:rPr>
      </w:pPr>
    </w:p>
    <w:p w14:paraId="2C872500" w14:textId="77777777" w:rsidR="009571DC" w:rsidRDefault="009571DC" w:rsidP="5AC4C81C">
      <w:pPr>
        <w:spacing w:after="0" w:line="276" w:lineRule="auto"/>
        <w:rPr>
          <w:rFonts w:ascii="Arial" w:hAnsi="Arial" w:cs="Arial"/>
          <w:b/>
          <w:bCs/>
          <w:sz w:val="22"/>
          <w:szCs w:val="22"/>
        </w:rPr>
      </w:pPr>
    </w:p>
    <w:p w14:paraId="2ED407C5" w14:textId="77777777" w:rsidR="009571DC" w:rsidRDefault="009571DC" w:rsidP="5AC4C81C">
      <w:pPr>
        <w:spacing w:after="0" w:line="276" w:lineRule="auto"/>
        <w:rPr>
          <w:rFonts w:ascii="Arial" w:hAnsi="Arial" w:cs="Arial"/>
          <w:b/>
          <w:bCs/>
          <w:sz w:val="22"/>
          <w:szCs w:val="22"/>
        </w:rPr>
      </w:pPr>
    </w:p>
    <w:p w14:paraId="48486016" w14:textId="77777777" w:rsidR="009571DC" w:rsidRDefault="009571DC" w:rsidP="5AC4C81C">
      <w:pPr>
        <w:spacing w:after="0" w:line="276" w:lineRule="auto"/>
        <w:rPr>
          <w:rFonts w:ascii="Arial" w:hAnsi="Arial" w:cs="Arial"/>
          <w:b/>
          <w:bCs/>
          <w:sz w:val="22"/>
          <w:szCs w:val="22"/>
        </w:rPr>
      </w:pPr>
    </w:p>
    <w:p w14:paraId="24023C26" w14:textId="77777777" w:rsidR="009571DC" w:rsidRDefault="009571DC" w:rsidP="5AC4C81C">
      <w:pPr>
        <w:spacing w:after="0" w:line="276" w:lineRule="auto"/>
        <w:rPr>
          <w:rFonts w:ascii="Arial" w:hAnsi="Arial" w:cs="Arial"/>
          <w:b/>
          <w:bCs/>
          <w:sz w:val="22"/>
          <w:szCs w:val="22"/>
        </w:rPr>
      </w:pPr>
    </w:p>
    <w:p w14:paraId="5FD39AA8" w14:textId="77777777" w:rsidR="009571DC" w:rsidRDefault="009571DC" w:rsidP="5AC4C81C">
      <w:pPr>
        <w:spacing w:after="0" w:line="276" w:lineRule="auto"/>
        <w:rPr>
          <w:rFonts w:ascii="Arial" w:hAnsi="Arial" w:cs="Arial"/>
          <w:b/>
          <w:bCs/>
          <w:sz w:val="22"/>
          <w:szCs w:val="22"/>
        </w:rPr>
      </w:pPr>
    </w:p>
    <w:p w14:paraId="7C644A64" w14:textId="77777777" w:rsidR="009571DC" w:rsidRDefault="009571DC" w:rsidP="5AC4C81C">
      <w:pPr>
        <w:spacing w:after="0" w:line="276" w:lineRule="auto"/>
        <w:rPr>
          <w:rFonts w:ascii="Arial" w:hAnsi="Arial" w:cs="Arial"/>
          <w:b/>
          <w:bCs/>
          <w:sz w:val="22"/>
          <w:szCs w:val="22"/>
        </w:rPr>
      </w:pPr>
    </w:p>
    <w:p w14:paraId="0647C244" w14:textId="77777777" w:rsidR="009571DC" w:rsidRDefault="009571DC" w:rsidP="5AC4C81C">
      <w:pPr>
        <w:spacing w:after="0" w:line="276" w:lineRule="auto"/>
        <w:rPr>
          <w:rFonts w:ascii="Arial" w:hAnsi="Arial" w:cs="Arial"/>
          <w:b/>
          <w:bCs/>
          <w:sz w:val="22"/>
          <w:szCs w:val="22"/>
        </w:rPr>
      </w:pPr>
    </w:p>
    <w:p w14:paraId="7C9795DB" w14:textId="77777777" w:rsidR="009571DC" w:rsidRDefault="009571DC" w:rsidP="5AC4C81C">
      <w:pPr>
        <w:spacing w:after="0" w:line="276" w:lineRule="auto"/>
        <w:rPr>
          <w:rFonts w:ascii="Arial" w:hAnsi="Arial" w:cs="Arial"/>
          <w:b/>
          <w:bCs/>
          <w:sz w:val="22"/>
          <w:szCs w:val="22"/>
        </w:rPr>
      </w:pPr>
    </w:p>
    <w:p w14:paraId="2FB74A8E" w14:textId="77777777" w:rsidR="009571DC" w:rsidRDefault="009571DC" w:rsidP="5AC4C81C">
      <w:pPr>
        <w:spacing w:after="0" w:line="276" w:lineRule="auto"/>
        <w:rPr>
          <w:rFonts w:ascii="Arial" w:hAnsi="Arial" w:cs="Arial"/>
          <w:b/>
          <w:bCs/>
          <w:sz w:val="22"/>
          <w:szCs w:val="22"/>
        </w:rPr>
      </w:pPr>
    </w:p>
    <w:p w14:paraId="04537107" w14:textId="77777777" w:rsidR="009571DC" w:rsidRDefault="009571DC" w:rsidP="5AC4C81C">
      <w:pPr>
        <w:spacing w:after="0" w:line="276" w:lineRule="auto"/>
        <w:rPr>
          <w:rFonts w:ascii="Arial" w:hAnsi="Arial" w:cs="Arial"/>
          <w:b/>
          <w:bCs/>
          <w:sz w:val="22"/>
          <w:szCs w:val="22"/>
        </w:rPr>
      </w:pPr>
    </w:p>
    <w:p w14:paraId="45FC0754" w14:textId="77777777" w:rsidR="009571DC" w:rsidRDefault="009571DC" w:rsidP="5AC4C81C">
      <w:pPr>
        <w:spacing w:after="0" w:line="276" w:lineRule="auto"/>
        <w:rPr>
          <w:rFonts w:ascii="Arial" w:hAnsi="Arial" w:cs="Arial"/>
          <w:b/>
          <w:bCs/>
          <w:sz w:val="22"/>
          <w:szCs w:val="22"/>
        </w:rPr>
      </w:pPr>
    </w:p>
    <w:p w14:paraId="76B1477A" w14:textId="77777777" w:rsidR="009571DC" w:rsidRDefault="009571DC" w:rsidP="5AC4C81C">
      <w:pPr>
        <w:spacing w:after="0" w:line="276" w:lineRule="auto"/>
        <w:rPr>
          <w:rFonts w:ascii="Arial" w:hAnsi="Arial" w:cs="Arial"/>
          <w:b/>
          <w:bCs/>
          <w:sz w:val="22"/>
          <w:szCs w:val="22"/>
        </w:rPr>
      </w:pPr>
    </w:p>
    <w:p w14:paraId="26650672" w14:textId="77777777" w:rsidR="009571DC" w:rsidRDefault="009571DC" w:rsidP="5AC4C81C">
      <w:pPr>
        <w:spacing w:after="0" w:line="276" w:lineRule="auto"/>
        <w:rPr>
          <w:rFonts w:ascii="Arial" w:hAnsi="Arial" w:cs="Arial"/>
          <w:b/>
          <w:bCs/>
          <w:sz w:val="22"/>
          <w:szCs w:val="22"/>
        </w:rPr>
      </w:pPr>
    </w:p>
    <w:p w14:paraId="178FA20F" w14:textId="77777777" w:rsidR="009571DC" w:rsidRDefault="009571DC" w:rsidP="5AC4C81C">
      <w:pPr>
        <w:spacing w:after="0" w:line="276" w:lineRule="auto"/>
        <w:rPr>
          <w:rFonts w:ascii="Arial" w:hAnsi="Arial" w:cs="Arial"/>
          <w:b/>
          <w:bCs/>
          <w:sz w:val="22"/>
          <w:szCs w:val="22"/>
        </w:rPr>
      </w:pPr>
    </w:p>
    <w:p w14:paraId="13DB6461" w14:textId="77777777" w:rsidR="009571DC" w:rsidRDefault="009571DC" w:rsidP="5AC4C81C">
      <w:pPr>
        <w:spacing w:after="0" w:line="276" w:lineRule="auto"/>
        <w:rPr>
          <w:rFonts w:ascii="Arial" w:hAnsi="Arial" w:cs="Arial"/>
          <w:b/>
          <w:bCs/>
          <w:sz w:val="22"/>
          <w:szCs w:val="22"/>
        </w:rPr>
      </w:pPr>
    </w:p>
    <w:p w14:paraId="2CAE3B46" w14:textId="77777777" w:rsidR="009571DC" w:rsidRDefault="009571DC" w:rsidP="5AC4C81C">
      <w:pPr>
        <w:spacing w:after="0" w:line="276" w:lineRule="auto"/>
        <w:rPr>
          <w:rFonts w:ascii="Arial" w:hAnsi="Arial" w:cs="Arial"/>
          <w:b/>
          <w:bCs/>
          <w:sz w:val="22"/>
          <w:szCs w:val="22"/>
        </w:rPr>
      </w:pPr>
    </w:p>
    <w:p w14:paraId="20D7C4C8" w14:textId="77777777" w:rsidR="009571DC" w:rsidRDefault="009571DC" w:rsidP="5AC4C81C">
      <w:pPr>
        <w:spacing w:after="0" w:line="276" w:lineRule="auto"/>
        <w:rPr>
          <w:rFonts w:ascii="Arial" w:hAnsi="Arial" w:cs="Arial"/>
          <w:b/>
          <w:bCs/>
          <w:sz w:val="22"/>
          <w:szCs w:val="22"/>
        </w:rPr>
      </w:pPr>
    </w:p>
    <w:p w14:paraId="218A7AC4" w14:textId="77777777" w:rsidR="009571DC" w:rsidRDefault="009571DC" w:rsidP="5AC4C81C">
      <w:pPr>
        <w:spacing w:after="0" w:line="276" w:lineRule="auto"/>
        <w:rPr>
          <w:rFonts w:ascii="Arial" w:hAnsi="Arial" w:cs="Arial"/>
          <w:b/>
          <w:bCs/>
          <w:sz w:val="22"/>
          <w:szCs w:val="22"/>
        </w:rPr>
      </w:pPr>
    </w:p>
    <w:p w14:paraId="51B32431" w14:textId="77777777" w:rsidR="009571DC" w:rsidRDefault="009571DC" w:rsidP="5AC4C81C">
      <w:pPr>
        <w:spacing w:after="0" w:line="276" w:lineRule="auto"/>
        <w:rPr>
          <w:rFonts w:ascii="Arial" w:hAnsi="Arial" w:cs="Arial"/>
          <w:b/>
          <w:bCs/>
          <w:sz w:val="22"/>
          <w:szCs w:val="22"/>
        </w:rPr>
      </w:pPr>
    </w:p>
    <w:p w14:paraId="32D74371" w14:textId="77777777" w:rsidR="009571DC" w:rsidRDefault="009571DC" w:rsidP="5AC4C81C">
      <w:pPr>
        <w:spacing w:after="0" w:line="276" w:lineRule="auto"/>
        <w:rPr>
          <w:rFonts w:ascii="Arial" w:hAnsi="Arial" w:cs="Arial"/>
          <w:b/>
          <w:bCs/>
          <w:sz w:val="22"/>
          <w:szCs w:val="22"/>
        </w:rPr>
      </w:pPr>
    </w:p>
    <w:p w14:paraId="34DAC31F" w14:textId="77777777" w:rsidR="009571DC" w:rsidRDefault="009571DC" w:rsidP="5AC4C81C">
      <w:pPr>
        <w:spacing w:after="0" w:line="276" w:lineRule="auto"/>
        <w:rPr>
          <w:rFonts w:ascii="Arial" w:hAnsi="Arial" w:cs="Arial"/>
          <w:b/>
          <w:bCs/>
          <w:sz w:val="22"/>
          <w:szCs w:val="22"/>
        </w:rPr>
      </w:pPr>
    </w:p>
    <w:p w14:paraId="07FA3561" w14:textId="77777777" w:rsidR="009571DC" w:rsidRDefault="009571DC" w:rsidP="5AC4C81C">
      <w:pPr>
        <w:spacing w:after="0" w:line="276" w:lineRule="auto"/>
        <w:rPr>
          <w:rFonts w:ascii="Arial" w:hAnsi="Arial" w:cs="Arial"/>
          <w:b/>
          <w:bCs/>
          <w:sz w:val="22"/>
          <w:szCs w:val="22"/>
        </w:rPr>
      </w:pPr>
    </w:p>
    <w:p w14:paraId="07B499B5" w14:textId="77777777" w:rsidR="009571DC" w:rsidRDefault="009571DC" w:rsidP="5AC4C81C">
      <w:pPr>
        <w:spacing w:after="0" w:line="276" w:lineRule="auto"/>
        <w:rPr>
          <w:rFonts w:ascii="Arial" w:hAnsi="Arial" w:cs="Arial"/>
          <w:b/>
          <w:bCs/>
          <w:sz w:val="22"/>
          <w:szCs w:val="22"/>
        </w:rPr>
      </w:pPr>
    </w:p>
    <w:p w14:paraId="69923D43" w14:textId="77777777" w:rsidR="009571DC" w:rsidRDefault="009571DC" w:rsidP="5AC4C81C">
      <w:pPr>
        <w:spacing w:after="0" w:line="276" w:lineRule="auto"/>
        <w:rPr>
          <w:rFonts w:ascii="Arial" w:hAnsi="Arial" w:cs="Arial"/>
          <w:b/>
          <w:bCs/>
          <w:sz w:val="22"/>
          <w:szCs w:val="22"/>
        </w:rPr>
      </w:pPr>
    </w:p>
    <w:p w14:paraId="3695E9B1" w14:textId="77777777" w:rsidR="009571DC" w:rsidRDefault="009571DC" w:rsidP="5AC4C81C">
      <w:pPr>
        <w:spacing w:after="0" w:line="276" w:lineRule="auto"/>
        <w:rPr>
          <w:rFonts w:ascii="Arial" w:hAnsi="Arial" w:cs="Arial"/>
          <w:b/>
          <w:bCs/>
          <w:sz w:val="22"/>
          <w:szCs w:val="22"/>
        </w:rPr>
      </w:pPr>
    </w:p>
    <w:p w14:paraId="31DA366C" w14:textId="77777777" w:rsidR="009571DC" w:rsidRDefault="009571DC" w:rsidP="5AC4C81C">
      <w:pPr>
        <w:spacing w:after="0" w:line="276" w:lineRule="auto"/>
        <w:rPr>
          <w:rFonts w:ascii="Arial" w:hAnsi="Arial" w:cs="Arial"/>
          <w:b/>
          <w:bCs/>
          <w:sz w:val="22"/>
          <w:szCs w:val="22"/>
        </w:rPr>
      </w:pPr>
    </w:p>
    <w:p w14:paraId="49CE7079" w14:textId="77777777" w:rsidR="009571DC" w:rsidRDefault="009571DC" w:rsidP="5AC4C81C">
      <w:pPr>
        <w:spacing w:after="0" w:line="276" w:lineRule="auto"/>
        <w:rPr>
          <w:rFonts w:ascii="Arial" w:hAnsi="Arial" w:cs="Arial"/>
          <w:b/>
          <w:bCs/>
          <w:sz w:val="22"/>
          <w:szCs w:val="22"/>
        </w:rPr>
      </w:pPr>
    </w:p>
    <w:p w14:paraId="7C5D2CCB" w14:textId="77777777" w:rsidR="009571DC" w:rsidRDefault="009571DC" w:rsidP="5AC4C81C">
      <w:pPr>
        <w:spacing w:after="0" w:line="276" w:lineRule="auto"/>
        <w:rPr>
          <w:rFonts w:ascii="Arial" w:hAnsi="Arial" w:cs="Arial"/>
          <w:b/>
          <w:bCs/>
          <w:sz w:val="22"/>
          <w:szCs w:val="22"/>
        </w:rPr>
      </w:pPr>
    </w:p>
    <w:p w14:paraId="2CEA3922" w14:textId="77777777" w:rsidR="009571DC" w:rsidRDefault="009571DC" w:rsidP="5AC4C81C">
      <w:pPr>
        <w:spacing w:after="0" w:line="276" w:lineRule="auto"/>
        <w:rPr>
          <w:rFonts w:ascii="Arial" w:hAnsi="Arial" w:cs="Arial"/>
          <w:b/>
          <w:bCs/>
          <w:sz w:val="22"/>
          <w:szCs w:val="22"/>
        </w:rPr>
      </w:pPr>
    </w:p>
    <w:p w14:paraId="1762E587" w14:textId="77777777" w:rsidR="009571DC" w:rsidRDefault="009571DC" w:rsidP="5AC4C81C">
      <w:pPr>
        <w:spacing w:after="0" w:line="276" w:lineRule="auto"/>
        <w:rPr>
          <w:rFonts w:ascii="Arial" w:hAnsi="Arial" w:cs="Arial"/>
          <w:b/>
          <w:bCs/>
          <w:sz w:val="22"/>
          <w:szCs w:val="22"/>
        </w:rPr>
      </w:pPr>
    </w:p>
    <w:p w14:paraId="1170ECD6" w14:textId="7C385006" w:rsidR="30E36979" w:rsidRDefault="5A95953A" w:rsidP="5AC4C81C">
      <w:pPr>
        <w:spacing w:after="0" w:line="276" w:lineRule="auto"/>
        <w:rPr>
          <w:rFonts w:ascii="Arial" w:hAnsi="Arial" w:cs="Arial"/>
          <w:b/>
          <w:bCs/>
          <w:sz w:val="22"/>
          <w:szCs w:val="22"/>
        </w:rPr>
      </w:pPr>
      <w:r w:rsidRPr="6D3FDA6D">
        <w:rPr>
          <w:rFonts w:ascii="Arial" w:hAnsi="Arial" w:cs="Arial"/>
          <w:b/>
          <w:bCs/>
          <w:sz w:val="22"/>
          <w:szCs w:val="22"/>
        </w:rPr>
        <w:lastRenderedPageBreak/>
        <w:t>References</w:t>
      </w:r>
    </w:p>
    <w:p w14:paraId="7844BB8A" w14:textId="77E713E0" w:rsidR="0CCBF71E" w:rsidRDefault="369204A8" w:rsidP="13FA7BBB">
      <w:pPr>
        <w:pStyle w:val="ListParagraph"/>
        <w:numPr>
          <w:ilvl w:val="0"/>
          <w:numId w:val="14"/>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Sand JP, Park AM, Bhatt N, Desai SC, Marquardt L, Sakiyama-Elbert S, Paniello RC. Comparison of conventional, revascularized, and bioengineered methods of recurrent laryngeal nerve reconstruction. </w:t>
      </w:r>
      <w:r w:rsidRPr="6D3FDA6D">
        <w:rPr>
          <w:rFonts w:ascii="Arial" w:eastAsia="Arial" w:hAnsi="Arial" w:cs="Arial"/>
          <w:i/>
          <w:iCs/>
          <w:color w:val="000000" w:themeColor="text1"/>
          <w:sz w:val="22"/>
          <w:szCs w:val="22"/>
        </w:rPr>
        <w:t>JAMA Otolaryngol Head Neck Surg.</w:t>
      </w:r>
      <w:r w:rsidRPr="6D3FDA6D">
        <w:rPr>
          <w:rFonts w:ascii="Arial" w:eastAsia="Arial" w:hAnsi="Arial" w:cs="Arial"/>
          <w:color w:val="000000" w:themeColor="text1"/>
          <w:sz w:val="22"/>
          <w:szCs w:val="22"/>
        </w:rPr>
        <w:t xml:space="preserve"> 2016;142(6):526-532. PMID: 27149421.</w:t>
      </w:r>
    </w:p>
    <w:p w14:paraId="1B891A99" w14:textId="30DA921F" w:rsidR="0CCBF71E" w:rsidRDefault="369204A8" w:rsidP="13FA7BBB">
      <w:pPr>
        <w:pStyle w:val="ListParagraph"/>
        <w:numPr>
          <w:ilvl w:val="0"/>
          <w:numId w:val="13"/>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Patel RR, Awan SN, Barkmeier-Kraemer J, Courey M, Deliyski D, Eadie T, Paul D, Švec JG, Hillman R. Recommended protocols for instrumental assessment of voice: American Speech-Language-Hearing Association expert panel to develop a protocol for instrumental assessment of vocal function. </w:t>
      </w:r>
      <w:r w:rsidRPr="6D3FDA6D">
        <w:rPr>
          <w:rFonts w:ascii="Arial" w:eastAsia="Arial" w:hAnsi="Arial" w:cs="Arial"/>
          <w:i/>
          <w:iCs/>
          <w:color w:val="000000" w:themeColor="text1"/>
          <w:sz w:val="22"/>
          <w:szCs w:val="22"/>
        </w:rPr>
        <w:t>Am J Speech Lang Pathol.</w:t>
      </w:r>
      <w:r w:rsidRPr="6D3FDA6D">
        <w:rPr>
          <w:rFonts w:ascii="Arial" w:eastAsia="Arial" w:hAnsi="Arial" w:cs="Arial"/>
          <w:color w:val="000000" w:themeColor="text1"/>
          <w:sz w:val="22"/>
          <w:szCs w:val="22"/>
        </w:rPr>
        <w:t xml:space="preserve"> 2018;27(3):887-905. doi:10.1044/2018_AJSLP-17-0009. PMID: 29955816.</w:t>
      </w:r>
    </w:p>
    <w:p w14:paraId="3E7D8CEA" w14:textId="0AFB3388" w:rsidR="0CCBF71E" w:rsidRDefault="369204A8" w:rsidP="13FA7BBB">
      <w:pPr>
        <w:pStyle w:val="ListParagraph"/>
        <w:numPr>
          <w:ilvl w:val="0"/>
          <w:numId w:val="12"/>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Tessema B, Roark RM, Pitman MJ, Weissbrod P, Sharma S, Schaefer SD. Observations of recurrent laryngeal nerve injury and recovery using a rat model. </w:t>
      </w:r>
      <w:r w:rsidRPr="6D3FDA6D">
        <w:rPr>
          <w:rFonts w:ascii="Arial" w:eastAsia="Arial" w:hAnsi="Arial" w:cs="Arial"/>
          <w:i/>
          <w:iCs/>
          <w:color w:val="000000" w:themeColor="text1"/>
          <w:sz w:val="22"/>
          <w:szCs w:val="22"/>
        </w:rPr>
        <w:t>Laryngoscope.</w:t>
      </w:r>
      <w:r w:rsidRPr="6D3FDA6D">
        <w:rPr>
          <w:rFonts w:ascii="Arial" w:eastAsia="Arial" w:hAnsi="Arial" w:cs="Arial"/>
          <w:color w:val="000000" w:themeColor="text1"/>
          <w:sz w:val="22"/>
          <w:szCs w:val="22"/>
        </w:rPr>
        <w:t xml:space="preserve"> 2009;119(8):1644-1651. doi:10.1002/lary.20293. PMID: 19504559.</w:t>
      </w:r>
    </w:p>
    <w:p w14:paraId="3E45BA87" w14:textId="70190E82" w:rsidR="23B6F8C6" w:rsidRDefault="4E16B68E" w:rsidP="13FA7BBB">
      <w:pPr>
        <w:pStyle w:val="ListParagraph"/>
        <w:numPr>
          <w:ilvl w:val="0"/>
          <w:numId w:val="5"/>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Halum SL, Bijangi-Vishehsaraei K, Zhang H, Sowinski J, Bottino MC. Stem cell-derived tissue-engineered constructs for hemilaryngeal reconstruction. </w:t>
      </w:r>
      <w:r w:rsidRPr="6D3FDA6D">
        <w:rPr>
          <w:rFonts w:ascii="Arial" w:eastAsia="Arial" w:hAnsi="Arial" w:cs="Arial"/>
          <w:i/>
          <w:iCs/>
          <w:color w:val="000000" w:themeColor="text1"/>
          <w:sz w:val="22"/>
          <w:szCs w:val="22"/>
        </w:rPr>
        <w:t>Ann Otol Rhinol Laryngol.</w:t>
      </w:r>
      <w:r w:rsidRPr="6D3FDA6D">
        <w:rPr>
          <w:rFonts w:ascii="Arial" w:eastAsia="Arial" w:hAnsi="Arial" w:cs="Arial"/>
          <w:color w:val="000000" w:themeColor="text1"/>
          <w:sz w:val="22"/>
          <w:szCs w:val="22"/>
        </w:rPr>
        <w:t xml:space="preserve"> 2014;123(2):124-134. doi:10.1177/0003489414523709. PMID: 24574468. PMCID: PMC4505801.</w:t>
      </w:r>
    </w:p>
    <w:p w14:paraId="6B69610A" w14:textId="40553220" w:rsidR="23B6F8C6" w:rsidRDefault="4E16B68E" w:rsidP="13FA7BBB">
      <w:pPr>
        <w:pStyle w:val="ListParagraph"/>
        <w:numPr>
          <w:ilvl w:val="0"/>
          <w:numId w:val="5"/>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Paniello RC, Brookes S, Bhatt NK, Bijangi-Vishehsaraei K, Zhang H, Halum S. Improved adductor function after canine recurrent laryngeal nerve injury and repair using muscle progenitor cells. </w:t>
      </w:r>
      <w:r w:rsidRPr="6D3FDA6D">
        <w:rPr>
          <w:rFonts w:ascii="Arial" w:eastAsia="Arial" w:hAnsi="Arial" w:cs="Arial"/>
          <w:i/>
          <w:iCs/>
          <w:color w:val="000000" w:themeColor="text1"/>
          <w:sz w:val="22"/>
          <w:szCs w:val="22"/>
        </w:rPr>
        <w:t>Laryngoscope.</w:t>
      </w:r>
      <w:r w:rsidRPr="6D3FDA6D">
        <w:rPr>
          <w:rFonts w:ascii="Arial" w:eastAsia="Arial" w:hAnsi="Arial" w:cs="Arial"/>
          <w:color w:val="000000" w:themeColor="text1"/>
          <w:sz w:val="22"/>
          <w:szCs w:val="22"/>
        </w:rPr>
        <w:t xml:space="preserve"> 2018;128(7</w:t>
      </w:r>
      <w:proofErr w:type="gramStart"/>
      <w:r w:rsidRPr="6D3FDA6D">
        <w:rPr>
          <w:rFonts w:ascii="Arial" w:eastAsia="Arial" w:hAnsi="Arial" w:cs="Arial"/>
          <w:color w:val="000000" w:themeColor="text1"/>
          <w:sz w:val="22"/>
          <w:szCs w:val="22"/>
        </w:rPr>
        <w:t>):E</w:t>
      </w:r>
      <w:proofErr w:type="gramEnd"/>
      <w:r w:rsidRPr="6D3FDA6D">
        <w:rPr>
          <w:rFonts w:ascii="Arial" w:eastAsia="Arial" w:hAnsi="Arial" w:cs="Arial"/>
          <w:color w:val="000000" w:themeColor="text1"/>
          <w:sz w:val="22"/>
          <w:szCs w:val="22"/>
        </w:rPr>
        <w:t>241-E246. doi:10.1002/lary.26992. PMID: 29219186.</w:t>
      </w:r>
    </w:p>
    <w:p w14:paraId="44047CF6" w14:textId="41A3EB20" w:rsidR="5170DFB9" w:rsidRDefault="35575E0D" w:rsidP="13FA7BBB">
      <w:pPr>
        <w:pStyle w:val="ListParagraph"/>
        <w:numPr>
          <w:ilvl w:val="0"/>
          <w:numId w:val="6"/>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Kaefer SL, Zhang L, Morrison RA, Brookes S, Awonusi O, Shay E, Hoilett OS, Anderson JL, Goergen CJ, Voytik-Harbin S, Halum S. Early changes in porcine larynges following injection of motor-endplate expressing muscle cells for the treatment of unilateral vocal fold paralysis. </w:t>
      </w:r>
      <w:r w:rsidRPr="6D3FDA6D">
        <w:rPr>
          <w:rFonts w:ascii="Arial" w:eastAsia="Arial" w:hAnsi="Arial" w:cs="Arial"/>
          <w:i/>
          <w:iCs/>
          <w:color w:val="000000" w:themeColor="text1"/>
          <w:sz w:val="22"/>
          <w:szCs w:val="22"/>
        </w:rPr>
        <w:t>Laryngoscope.</w:t>
      </w:r>
      <w:r w:rsidRPr="6D3FDA6D">
        <w:rPr>
          <w:rFonts w:ascii="Arial" w:eastAsia="Arial" w:hAnsi="Arial" w:cs="Arial"/>
          <w:color w:val="000000" w:themeColor="text1"/>
          <w:sz w:val="22"/>
          <w:szCs w:val="22"/>
        </w:rPr>
        <w:t xml:space="preserve"> 2024;134(1):272-282. doi:10.1002/lary.30868. PMID: 37436167. PMCID: PMC11790276.</w:t>
      </w:r>
    </w:p>
    <w:p w14:paraId="5AA33F40" w14:textId="2839FB03" w:rsidR="5170DFB9" w:rsidRDefault="2BB48885" w:rsidP="13FA7BBB">
      <w:pPr>
        <w:pStyle w:val="ListParagraph"/>
        <w:numPr>
          <w:ilvl w:val="0"/>
          <w:numId w:val="6"/>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Kaefer SL, Zhang L, Brookes S, Morrison RA, Voytik-Harbin S, Halum S. Optimizing transport methods to preserve function of self-innervating muscle cells for laryngeal injection. </w:t>
      </w:r>
      <w:r w:rsidRPr="6D3FDA6D">
        <w:rPr>
          <w:rFonts w:ascii="Arial" w:eastAsia="Arial" w:hAnsi="Arial" w:cs="Arial"/>
          <w:i/>
          <w:iCs/>
          <w:color w:val="000000" w:themeColor="text1"/>
          <w:sz w:val="22"/>
          <w:szCs w:val="22"/>
        </w:rPr>
        <w:t>Laryngoscope Investig Otolaryngol.</w:t>
      </w:r>
      <w:r w:rsidRPr="6D3FDA6D">
        <w:rPr>
          <w:rFonts w:ascii="Arial" w:eastAsia="Arial" w:hAnsi="Arial" w:cs="Arial"/>
          <w:color w:val="000000" w:themeColor="text1"/>
          <w:sz w:val="22"/>
          <w:szCs w:val="22"/>
        </w:rPr>
        <w:t xml:space="preserve"> 2024;9(6</w:t>
      </w:r>
      <w:proofErr w:type="gramStart"/>
      <w:r w:rsidRPr="6D3FDA6D">
        <w:rPr>
          <w:rFonts w:ascii="Arial" w:eastAsia="Arial" w:hAnsi="Arial" w:cs="Arial"/>
          <w:color w:val="000000" w:themeColor="text1"/>
          <w:sz w:val="22"/>
          <w:szCs w:val="22"/>
        </w:rPr>
        <w:t>):e</w:t>
      </w:r>
      <w:proofErr w:type="gramEnd"/>
      <w:r w:rsidRPr="6D3FDA6D">
        <w:rPr>
          <w:rFonts w:ascii="Arial" w:eastAsia="Arial" w:hAnsi="Arial" w:cs="Arial"/>
          <w:color w:val="000000" w:themeColor="text1"/>
          <w:sz w:val="22"/>
          <w:szCs w:val="22"/>
        </w:rPr>
        <w:t>1259. PMID: 39655095.</w:t>
      </w:r>
    </w:p>
    <w:p w14:paraId="3EE81889" w14:textId="577E2525" w:rsidR="615E87C2" w:rsidRDefault="76386717" w:rsidP="13FA7BBB">
      <w:pPr>
        <w:pStyle w:val="ListParagraph"/>
        <w:numPr>
          <w:ilvl w:val="0"/>
          <w:numId w:val="9"/>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Rosko AJ, Kupfer RA, Oh SS, Haring CT, Feldman EL, Hogikyan ND. Immunohistologic analysis of spontaneous recurrent laryngeal nerve reinnervation in a rat model. </w:t>
      </w:r>
      <w:r w:rsidRPr="6D3FDA6D">
        <w:rPr>
          <w:rFonts w:ascii="Arial" w:eastAsia="Arial" w:hAnsi="Arial" w:cs="Arial"/>
          <w:i/>
          <w:iCs/>
          <w:color w:val="000000" w:themeColor="text1"/>
          <w:sz w:val="22"/>
          <w:szCs w:val="22"/>
        </w:rPr>
        <w:t>Laryngoscope.</w:t>
      </w:r>
      <w:r w:rsidRPr="6D3FDA6D">
        <w:rPr>
          <w:rFonts w:ascii="Arial" w:eastAsia="Arial" w:hAnsi="Arial" w:cs="Arial"/>
          <w:color w:val="000000" w:themeColor="text1"/>
          <w:sz w:val="22"/>
          <w:szCs w:val="22"/>
        </w:rPr>
        <w:t xml:space="preserve"> 2018;128(3</w:t>
      </w:r>
      <w:proofErr w:type="gramStart"/>
      <w:r w:rsidRPr="6D3FDA6D">
        <w:rPr>
          <w:rFonts w:ascii="Arial" w:eastAsia="Arial" w:hAnsi="Arial" w:cs="Arial"/>
          <w:color w:val="000000" w:themeColor="text1"/>
          <w:sz w:val="22"/>
          <w:szCs w:val="22"/>
        </w:rPr>
        <w:t>):E</w:t>
      </w:r>
      <w:proofErr w:type="gramEnd"/>
      <w:r w:rsidRPr="6D3FDA6D">
        <w:rPr>
          <w:rFonts w:ascii="Arial" w:eastAsia="Arial" w:hAnsi="Arial" w:cs="Arial"/>
          <w:color w:val="000000" w:themeColor="text1"/>
          <w:sz w:val="22"/>
          <w:szCs w:val="22"/>
        </w:rPr>
        <w:t>117-E122. doi:10.1002/lary.27004. PMID: 29226485.</w:t>
      </w:r>
    </w:p>
    <w:p w14:paraId="52CA44E5" w14:textId="74A4814D" w:rsidR="615E87C2" w:rsidRPr="0063529E" w:rsidRDefault="76386717" w:rsidP="13FA7BBB">
      <w:pPr>
        <w:pStyle w:val="ListParagraph"/>
        <w:numPr>
          <w:ilvl w:val="0"/>
          <w:numId w:val="7"/>
        </w:numPr>
        <w:spacing w:after="0" w:line="276" w:lineRule="auto"/>
        <w:rPr>
          <w:rFonts w:ascii="Arial" w:eastAsia="Arial" w:hAnsi="Arial" w:cs="Arial"/>
          <w:color w:val="000000" w:themeColor="text1"/>
          <w:sz w:val="22"/>
          <w:szCs w:val="22"/>
          <w:lang w:val="pl-PL"/>
        </w:rPr>
      </w:pPr>
      <w:r w:rsidRPr="6D3FDA6D">
        <w:rPr>
          <w:rFonts w:ascii="Arial" w:eastAsia="Arial" w:hAnsi="Arial" w:cs="Arial"/>
          <w:color w:val="000000" w:themeColor="text1"/>
          <w:sz w:val="22"/>
          <w:szCs w:val="22"/>
        </w:rPr>
        <w:t xml:space="preserve">Grossmann KS, Wende H, Paul FE, Cheret C, Garratt AN, Zurborg S, Feinberg K, Besser D, Schulz H, Peles E, Selbach M, Birchmeier W, Birchmeier C. The tyrosine phosphatase Shp2 (PTPN11) directs Neuregulin-1/ErbB signaling throughout Schwann cell development. </w:t>
      </w:r>
      <w:r w:rsidRPr="6D3FDA6D">
        <w:rPr>
          <w:rFonts w:ascii="Arial" w:eastAsia="Arial" w:hAnsi="Arial" w:cs="Arial"/>
          <w:i/>
          <w:iCs/>
          <w:color w:val="000000" w:themeColor="text1"/>
          <w:sz w:val="22"/>
          <w:szCs w:val="22"/>
          <w:lang w:val="pl-PL"/>
        </w:rPr>
        <w:t>Proc Natl Acad Sci U S A.</w:t>
      </w:r>
      <w:r w:rsidRPr="6D3FDA6D">
        <w:rPr>
          <w:rFonts w:ascii="Arial" w:eastAsia="Arial" w:hAnsi="Arial" w:cs="Arial"/>
          <w:color w:val="000000" w:themeColor="text1"/>
          <w:sz w:val="22"/>
          <w:szCs w:val="22"/>
          <w:lang w:val="pl-PL"/>
        </w:rPr>
        <w:t xml:space="preserve"> 2009;106(39):16704-16709. doi:10.1073/pnas.0904336106. PMID: 19805360.</w:t>
      </w:r>
    </w:p>
    <w:p w14:paraId="27317703" w14:textId="3F3D872F" w:rsidR="615E87C2" w:rsidRDefault="76386717" w:rsidP="13FA7BBB">
      <w:pPr>
        <w:pStyle w:val="ListParagraph"/>
        <w:numPr>
          <w:ilvl w:val="0"/>
          <w:numId w:val="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Hettwer S, Lin S, Kucsera S, Haubitz M, Oliveri F, Fariello RG, Ruegg MA, Vrijbloed JW. Injection of a soluble fragment of neural agrin (NT-1654) considerably improves the muscle pathology caused by the disassembly of the neuromuscular junction. </w:t>
      </w:r>
      <w:r w:rsidRPr="6D3FDA6D">
        <w:rPr>
          <w:rFonts w:ascii="Arial" w:eastAsia="Arial" w:hAnsi="Arial" w:cs="Arial"/>
          <w:i/>
          <w:iCs/>
          <w:color w:val="000000" w:themeColor="text1"/>
          <w:sz w:val="22"/>
          <w:szCs w:val="22"/>
        </w:rPr>
        <w:t>PLoS One.</w:t>
      </w:r>
      <w:r w:rsidRPr="6D3FDA6D">
        <w:rPr>
          <w:rFonts w:ascii="Arial" w:eastAsia="Arial" w:hAnsi="Arial" w:cs="Arial"/>
          <w:color w:val="000000" w:themeColor="text1"/>
          <w:sz w:val="22"/>
          <w:szCs w:val="22"/>
        </w:rPr>
        <w:t xml:space="preserve"> 2014;9(2</w:t>
      </w:r>
      <w:proofErr w:type="gramStart"/>
      <w:r w:rsidRPr="6D3FDA6D">
        <w:rPr>
          <w:rFonts w:ascii="Arial" w:eastAsia="Arial" w:hAnsi="Arial" w:cs="Arial"/>
          <w:color w:val="000000" w:themeColor="text1"/>
          <w:sz w:val="22"/>
          <w:szCs w:val="22"/>
        </w:rPr>
        <w:t>):e</w:t>
      </w:r>
      <w:proofErr w:type="gramEnd"/>
      <w:r w:rsidRPr="6D3FDA6D">
        <w:rPr>
          <w:rFonts w:ascii="Arial" w:eastAsia="Arial" w:hAnsi="Arial" w:cs="Arial"/>
          <w:color w:val="000000" w:themeColor="text1"/>
          <w:sz w:val="22"/>
          <w:szCs w:val="22"/>
        </w:rPr>
        <w:t xml:space="preserve">88739. </w:t>
      </w:r>
      <w:proofErr w:type="gramStart"/>
      <w:r w:rsidRPr="6D3FDA6D">
        <w:rPr>
          <w:rFonts w:ascii="Arial" w:eastAsia="Arial" w:hAnsi="Arial" w:cs="Arial"/>
          <w:color w:val="000000" w:themeColor="text1"/>
          <w:sz w:val="22"/>
          <w:szCs w:val="22"/>
        </w:rPr>
        <w:t>doi:10.1371/journal.pone</w:t>
      </w:r>
      <w:proofErr w:type="gramEnd"/>
      <w:r w:rsidRPr="6D3FDA6D">
        <w:rPr>
          <w:rFonts w:ascii="Arial" w:eastAsia="Arial" w:hAnsi="Arial" w:cs="Arial"/>
          <w:color w:val="000000" w:themeColor="text1"/>
          <w:sz w:val="22"/>
          <w:szCs w:val="22"/>
        </w:rPr>
        <w:t>.0088739. PMID: 24520420. PMCID: PMC3919806.</w:t>
      </w:r>
    </w:p>
    <w:p w14:paraId="22FB07C2" w14:textId="6AB778E4" w:rsidR="615E87C2" w:rsidRDefault="76386717" w:rsidP="13FA7BBB">
      <w:pPr>
        <w:pStyle w:val="ListParagraph"/>
        <w:numPr>
          <w:ilvl w:val="0"/>
          <w:numId w:val="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lastRenderedPageBreak/>
        <w:t xml:space="preserve">Li Q, Loeb JA. Neuregulin-heparan-sulfate proteoglycan interactions produce sustained erbB receptor activation required for the induction of acetylcholine receptors in muscle. </w:t>
      </w:r>
      <w:r w:rsidRPr="6D3FDA6D">
        <w:rPr>
          <w:rFonts w:ascii="Arial" w:eastAsia="Arial" w:hAnsi="Arial" w:cs="Arial"/>
          <w:i/>
          <w:iCs/>
          <w:color w:val="000000" w:themeColor="text1"/>
          <w:sz w:val="22"/>
          <w:szCs w:val="22"/>
        </w:rPr>
        <w:t>J Biol Chem.</w:t>
      </w:r>
      <w:r w:rsidRPr="6D3FDA6D">
        <w:rPr>
          <w:rFonts w:ascii="Arial" w:eastAsia="Arial" w:hAnsi="Arial" w:cs="Arial"/>
          <w:color w:val="000000" w:themeColor="text1"/>
          <w:sz w:val="22"/>
          <w:szCs w:val="22"/>
        </w:rPr>
        <w:t xml:space="preserve"> 2001;276(41):38068-38075. c. PMID: 11502740.</w:t>
      </w:r>
    </w:p>
    <w:p w14:paraId="7EA9F08D" w14:textId="047AD570" w:rsidR="615E87C2" w:rsidRDefault="76386717" w:rsidP="13FA7BBB">
      <w:pPr>
        <w:pStyle w:val="ListParagraph"/>
        <w:numPr>
          <w:ilvl w:val="0"/>
          <w:numId w:val="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Yang JF, Cao G, Koirala S, Reddy LV, Ko CP. Schwann cells express active agrin and enhance aggregation of acetylcholine receptors on muscle fibers. </w:t>
      </w:r>
      <w:r w:rsidRPr="6D3FDA6D">
        <w:rPr>
          <w:rFonts w:ascii="Arial" w:eastAsia="Arial" w:hAnsi="Arial" w:cs="Arial"/>
          <w:i/>
          <w:iCs/>
          <w:color w:val="000000" w:themeColor="text1"/>
          <w:sz w:val="22"/>
          <w:szCs w:val="22"/>
        </w:rPr>
        <w:t>J Neurosci.</w:t>
      </w:r>
      <w:r w:rsidRPr="6D3FDA6D">
        <w:rPr>
          <w:rFonts w:ascii="Arial" w:eastAsia="Arial" w:hAnsi="Arial" w:cs="Arial"/>
          <w:color w:val="000000" w:themeColor="text1"/>
          <w:sz w:val="22"/>
          <w:szCs w:val="22"/>
        </w:rPr>
        <w:t xml:space="preserve"> 2001;21(24):9572-9584. doi:10.1523/JNEUROSCI.21-24-09572.2001. PMID: 11739568.</w:t>
      </w:r>
    </w:p>
    <w:p w14:paraId="44D9C63A" w14:textId="636B9936" w:rsidR="615E87C2" w:rsidRDefault="76386717" w:rsidP="13FA7BBB">
      <w:pPr>
        <w:pStyle w:val="ListParagraph"/>
        <w:numPr>
          <w:ilvl w:val="0"/>
          <w:numId w:val="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Michailov GV, Sereda MW, Brinkmann BG, Fischer TM, Haug B, Birchmeier C, Role L, Lai C, Schwab MH, Nave KA. Axonal neuregulin-1 regulates myelin sheath thickness. </w:t>
      </w:r>
      <w:r w:rsidRPr="6D3FDA6D">
        <w:rPr>
          <w:rFonts w:ascii="Arial" w:eastAsia="Arial" w:hAnsi="Arial" w:cs="Arial"/>
          <w:i/>
          <w:iCs/>
          <w:color w:val="000000" w:themeColor="text1"/>
          <w:sz w:val="22"/>
          <w:szCs w:val="22"/>
        </w:rPr>
        <w:t>Science.</w:t>
      </w:r>
      <w:r w:rsidRPr="6D3FDA6D">
        <w:rPr>
          <w:rFonts w:ascii="Arial" w:eastAsia="Arial" w:hAnsi="Arial" w:cs="Arial"/>
          <w:color w:val="000000" w:themeColor="text1"/>
          <w:sz w:val="22"/>
          <w:szCs w:val="22"/>
        </w:rPr>
        <w:t xml:space="preserve"> 2004;304(5671):700-703. doi:10.1126/science.1095862. PMID: 15044753.</w:t>
      </w:r>
    </w:p>
    <w:p w14:paraId="25FAE56D" w14:textId="6F930EC6" w:rsidR="615E87C2" w:rsidRDefault="76386717" w:rsidP="13FA7BBB">
      <w:pPr>
        <w:pStyle w:val="ListParagraph"/>
        <w:numPr>
          <w:ilvl w:val="0"/>
          <w:numId w:val="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Min Q, Parkinson DB, Dun XP. Migrating Schwann cells direct axon regeneration within the peripheral nerve bridge. </w:t>
      </w:r>
      <w:r w:rsidRPr="6D3FDA6D">
        <w:rPr>
          <w:rFonts w:ascii="Arial" w:eastAsia="Arial" w:hAnsi="Arial" w:cs="Arial"/>
          <w:i/>
          <w:iCs/>
          <w:color w:val="000000" w:themeColor="text1"/>
          <w:sz w:val="22"/>
          <w:szCs w:val="22"/>
        </w:rPr>
        <w:t>Glia.</w:t>
      </w:r>
      <w:r w:rsidRPr="6D3FDA6D">
        <w:rPr>
          <w:rFonts w:ascii="Arial" w:eastAsia="Arial" w:hAnsi="Arial" w:cs="Arial"/>
          <w:color w:val="000000" w:themeColor="text1"/>
          <w:sz w:val="22"/>
          <w:szCs w:val="22"/>
        </w:rPr>
        <w:t xml:space="preserve"> 2021;69(2):235-254. doi:10.1002/glia.23892. PMID: 32697392.</w:t>
      </w:r>
    </w:p>
    <w:p w14:paraId="147E227F" w14:textId="2C916807" w:rsidR="0CCBF71E" w:rsidRDefault="369204A8" w:rsidP="13FA7BBB">
      <w:pPr>
        <w:pStyle w:val="ListParagraph"/>
        <w:numPr>
          <w:ilvl w:val="0"/>
          <w:numId w:val="11"/>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Tadikonda A, Anekal S, Chen LW, Sobczak G, Wesson T, Jackson C, Egan MA, Liu JC, Finnegan PR, Halum S. Novel biomolecule-infused gelatin injectable for treatment of recurrent laryngeal nerve injury. </w:t>
      </w:r>
      <w:r w:rsidRPr="6D3FDA6D">
        <w:rPr>
          <w:rFonts w:ascii="Arial" w:eastAsia="Arial" w:hAnsi="Arial" w:cs="Arial"/>
          <w:i/>
          <w:iCs/>
          <w:color w:val="000000" w:themeColor="text1"/>
          <w:sz w:val="22"/>
          <w:szCs w:val="22"/>
        </w:rPr>
        <w:t>Laryngoscope.</w:t>
      </w:r>
      <w:r w:rsidRPr="6D3FDA6D">
        <w:rPr>
          <w:rFonts w:ascii="Arial" w:eastAsia="Arial" w:hAnsi="Arial" w:cs="Arial"/>
          <w:color w:val="000000" w:themeColor="text1"/>
          <w:sz w:val="22"/>
          <w:szCs w:val="22"/>
        </w:rPr>
        <w:t xml:space="preserve"> 2025;135(12):4781-4792. doi:10.1002/lary.32459. PMID: 40952065.</w:t>
      </w:r>
    </w:p>
    <w:p w14:paraId="4FE3C477" w14:textId="0A4A2F65" w:rsidR="349C6E22" w:rsidRDefault="36AF6FE5" w:rsidP="13FA7BBB">
      <w:pPr>
        <w:pStyle w:val="ListParagraph"/>
        <w:numPr>
          <w:ilvl w:val="0"/>
          <w:numId w:val="15"/>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 xml:space="preserve">Švejdová A, Dršata J, Mejzlík J, Homoláč M, Krtičková J, Šatanková J, Chrobok V. Injection laryngoplasty with hyaluronic acid for glottal insufficiency in unilateral vocal fold paralysis: a systematic review of the literature. </w:t>
      </w:r>
      <w:r w:rsidRPr="6D3FDA6D">
        <w:rPr>
          <w:rFonts w:ascii="Arial" w:eastAsia="Arial" w:hAnsi="Arial" w:cs="Arial"/>
          <w:i/>
          <w:iCs/>
          <w:color w:val="000000" w:themeColor="text1"/>
          <w:sz w:val="22"/>
          <w:szCs w:val="22"/>
        </w:rPr>
        <w:t>Eur Arch Otorhinolaryngol.</w:t>
      </w:r>
      <w:r w:rsidRPr="6D3FDA6D">
        <w:rPr>
          <w:rFonts w:ascii="Arial" w:eastAsia="Arial" w:hAnsi="Arial" w:cs="Arial"/>
          <w:color w:val="000000" w:themeColor="text1"/>
          <w:sz w:val="22"/>
          <w:szCs w:val="22"/>
        </w:rPr>
        <w:t xml:space="preserve"> 2022;279(11):5071-5079. doi:10.1007/s00405-022-07437-0. PMID: 35767054.</w:t>
      </w:r>
    </w:p>
    <w:p w14:paraId="51AEE270" w14:textId="35A33D47" w:rsidR="5AC4C81C" w:rsidRDefault="5AC4C81C" w:rsidP="5AC4C81C">
      <w:pPr>
        <w:spacing w:after="0" w:line="276" w:lineRule="auto"/>
        <w:rPr>
          <w:rFonts w:ascii="Arial" w:eastAsia="Arial" w:hAnsi="Arial" w:cs="Arial"/>
          <w:color w:val="000000" w:themeColor="text1"/>
          <w:sz w:val="22"/>
          <w:szCs w:val="22"/>
        </w:rPr>
      </w:pPr>
    </w:p>
    <w:p w14:paraId="75162869" w14:textId="368C9448" w:rsidR="6C8D4CC2" w:rsidRDefault="5CE2F753" w:rsidP="5AC4C81C">
      <w:pPr>
        <w:spacing w:after="0" w:line="276" w:lineRule="auto"/>
        <w:rPr>
          <w:rFonts w:ascii="Arial" w:hAnsi="Arial" w:cs="Arial"/>
          <w:b/>
          <w:bCs/>
          <w:sz w:val="22"/>
          <w:szCs w:val="22"/>
        </w:rPr>
      </w:pPr>
      <w:r w:rsidRPr="6D3FDA6D">
        <w:rPr>
          <w:rFonts w:ascii="Arial" w:hAnsi="Arial" w:cs="Arial"/>
          <w:b/>
          <w:bCs/>
          <w:sz w:val="22"/>
          <w:szCs w:val="22"/>
        </w:rPr>
        <w:t>Supplemental References</w:t>
      </w:r>
    </w:p>
    <w:p w14:paraId="4B1B83F1" w14:textId="360B7F0B" w:rsidR="6C8D4CC2" w:rsidRDefault="5CE2F753" w:rsidP="6D3FDA6D">
      <w:pPr>
        <w:pStyle w:val="ListParagraph"/>
        <w:numPr>
          <w:ilvl w:val="0"/>
          <w:numId w:val="1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Haney MM, Hamad A, Leary E, Bunyak F, Lever TE. Automated Quantification of Vocal Fold Motion in a Recurrent Laryngeal Nerve Injury Mouse Model. Laryngoscope. 2019 Jul;129(7</w:t>
      </w:r>
      <w:proofErr w:type="gramStart"/>
      <w:r w:rsidRPr="6D3FDA6D">
        <w:rPr>
          <w:rFonts w:ascii="Arial" w:eastAsia="Arial" w:hAnsi="Arial" w:cs="Arial"/>
          <w:color w:val="000000" w:themeColor="text1"/>
          <w:sz w:val="22"/>
          <w:szCs w:val="22"/>
        </w:rPr>
        <w:t>):E</w:t>
      </w:r>
      <w:proofErr w:type="gramEnd"/>
      <w:r w:rsidRPr="6D3FDA6D">
        <w:rPr>
          <w:rFonts w:ascii="Arial" w:eastAsia="Arial" w:hAnsi="Arial" w:cs="Arial"/>
          <w:color w:val="000000" w:themeColor="text1"/>
          <w:sz w:val="22"/>
          <w:szCs w:val="22"/>
        </w:rPr>
        <w:t>247-E254. doi: 10.1002/lary.27609. Epub 2018 Nov 26. PMID: 30478924; PMCID: PMC6535380.</w:t>
      </w:r>
    </w:p>
    <w:p w14:paraId="16783243" w14:textId="5EB508AD" w:rsidR="6C8D4CC2" w:rsidRDefault="5CE2F753" w:rsidP="6D3FDA6D">
      <w:pPr>
        <w:pStyle w:val="ListParagraph"/>
        <w:numPr>
          <w:ilvl w:val="0"/>
          <w:numId w:val="17"/>
        </w:numPr>
        <w:spacing w:after="0" w:line="276"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Akaaboune M, Culican SM, Turney SG, Lichtman JW. Rapid and reversible effects of activity on acetylcholine receptor density at the neuromuscular junction in vivo. Science. 1999 Oct 15;286(5439):503-7. doi: 10.1126/science.286.5439.503. PMID: 10521340.</w:t>
      </w:r>
    </w:p>
    <w:p w14:paraId="2E3A6AE8" w14:textId="4DF2B77C" w:rsidR="5AC4C81C" w:rsidRDefault="5AC4C81C" w:rsidP="5AC4C81C">
      <w:pPr>
        <w:spacing w:after="0" w:line="276" w:lineRule="auto"/>
        <w:rPr>
          <w:rFonts w:ascii="Arial" w:hAnsi="Arial" w:cs="Arial"/>
        </w:rPr>
      </w:pPr>
    </w:p>
    <w:p w14:paraId="49733487" w14:textId="42B3D7E7" w:rsidR="5AC4C81C" w:rsidRDefault="5AC4C81C" w:rsidP="5AC4C81C">
      <w:pPr>
        <w:spacing w:after="0" w:line="276" w:lineRule="auto"/>
        <w:rPr>
          <w:rFonts w:ascii="Arial" w:eastAsia="Arial" w:hAnsi="Arial" w:cs="Arial"/>
          <w:color w:val="000000" w:themeColor="text1"/>
          <w:sz w:val="22"/>
          <w:szCs w:val="22"/>
        </w:rPr>
      </w:pPr>
    </w:p>
    <w:p w14:paraId="4CEB9A67" w14:textId="06158D77" w:rsidR="13FA7BBB" w:rsidRDefault="13FA7BBB" w:rsidP="13FA7BBB">
      <w:pPr>
        <w:spacing w:after="0" w:line="276" w:lineRule="auto"/>
        <w:rPr>
          <w:rFonts w:ascii="Arial" w:hAnsi="Arial" w:cs="Arial"/>
        </w:rPr>
      </w:pPr>
    </w:p>
    <w:p w14:paraId="48388510" w14:textId="7DCC3025" w:rsidR="335BBD30" w:rsidRDefault="335BBD30" w:rsidP="335BBD30">
      <w:pPr>
        <w:spacing w:after="0" w:line="276" w:lineRule="auto"/>
        <w:rPr>
          <w:rFonts w:ascii="Arial" w:hAnsi="Arial" w:cs="Arial"/>
          <w:b/>
          <w:bCs/>
          <w:sz w:val="22"/>
          <w:szCs w:val="22"/>
        </w:rPr>
      </w:pPr>
    </w:p>
    <w:p w14:paraId="112C2928" w14:textId="3A4A1AA5" w:rsidR="335BBD30" w:rsidRDefault="335BBD30" w:rsidP="335BBD30">
      <w:pPr>
        <w:spacing w:after="0" w:line="276" w:lineRule="auto"/>
        <w:rPr>
          <w:rFonts w:ascii="Arial" w:hAnsi="Arial" w:cs="Arial"/>
          <w:b/>
          <w:bCs/>
          <w:sz w:val="22"/>
          <w:szCs w:val="22"/>
        </w:rPr>
      </w:pPr>
    </w:p>
    <w:p w14:paraId="0F6FED79" w14:textId="1AAE6ED8" w:rsidR="335BBD30" w:rsidRDefault="335BBD30" w:rsidP="335BBD30">
      <w:pPr>
        <w:spacing w:after="0" w:line="276" w:lineRule="auto"/>
        <w:rPr>
          <w:rFonts w:ascii="Arial" w:hAnsi="Arial" w:cs="Arial"/>
          <w:b/>
          <w:bCs/>
          <w:sz w:val="22"/>
          <w:szCs w:val="22"/>
        </w:rPr>
      </w:pPr>
    </w:p>
    <w:p w14:paraId="0E8134FD" w14:textId="7D45F4BF" w:rsidR="335BBD30" w:rsidRDefault="335BBD30" w:rsidP="335BBD30">
      <w:pPr>
        <w:spacing w:after="0" w:line="276" w:lineRule="auto"/>
        <w:rPr>
          <w:rFonts w:ascii="Arial" w:hAnsi="Arial" w:cs="Arial"/>
          <w:b/>
          <w:bCs/>
          <w:sz w:val="22"/>
          <w:szCs w:val="22"/>
        </w:rPr>
      </w:pPr>
    </w:p>
    <w:p w14:paraId="1D7D5D1C" w14:textId="00900A68" w:rsidR="335BBD30" w:rsidRDefault="335BBD30" w:rsidP="335BBD30">
      <w:pPr>
        <w:spacing w:after="0" w:line="276" w:lineRule="auto"/>
        <w:rPr>
          <w:rFonts w:ascii="Arial" w:hAnsi="Arial" w:cs="Arial"/>
          <w:b/>
          <w:bCs/>
          <w:sz w:val="22"/>
          <w:szCs w:val="22"/>
        </w:rPr>
      </w:pPr>
    </w:p>
    <w:p w14:paraId="0D7EBE6E" w14:textId="17D05F3F" w:rsidR="13FA7BBB" w:rsidRDefault="13FA7BBB" w:rsidP="5AC4C81C">
      <w:pPr>
        <w:spacing w:after="0" w:line="276" w:lineRule="auto"/>
        <w:rPr>
          <w:rFonts w:ascii="Arial" w:hAnsi="Arial" w:cs="Arial"/>
          <w:b/>
          <w:bCs/>
          <w:sz w:val="22"/>
          <w:szCs w:val="22"/>
        </w:rPr>
      </w:pPr>
    </w:p>
    <w:p w14:paraId="74FCB7CB" w14:textId="124CB642" w:rsidR="13FA7BBB" w:rsidRDefault="33A9B9E6" w:rsidP="335BBD30">
      <w:pPr>
        <w:spacing w:after="0" w:line="276" w:lineRule="auto"/>
      </w:pPr>
      <w:r>
        <w:br w:type="page"/>
      </w:r>
    </w:p>
    <w:p w14:paraId="407CF620" w14:textId="1C5D5441" w:rsidR="13FA7BBB" w:rsidRDefault="144FA1D5" w:rsidP="5AC4C81C">
      <w:pPr>
        <w:spacing w:after="0" w:line="276" w:lineRule="auto"/>
        <w:rPr>
          <w:rFonts w:ascii="Arial" w:hAnsi="Arial" w:cs="Arial"/>
          <w:b/>
          <w:bCs/>
          <w:sz w:val="22"/>
          <w:szCs w:val="22"/>
        </w:rPr>
      </w:pPr>
      <w:r w:rsidRPr="6D3FDA6D">
        <w:rPr>
          <w:rFonts w:ascii="Arial" w:hAnsi="Arial" w:cs="Arial"/>
          <w:b/>
          <w:bCs/>
          <w:sz w:val="22"/>
          <w:szCs w:val="22"/>
        </w:rPr>
        <w:lastRenderedPageBreak/>
        <w:t>Supplemental Tables</w:t>
      </w:r>
    </w:p>
    <w:p w14:paraId="5A292F97" w14:textId="1A967065" w:rsidR="343A2314" w:rsidRDefault="028F07FA" w:rsidP="13FA7BBB">
      <w:pPr>
        <w:spacing w:after="0" w:line="240" w:lineRule="auto"/>
        <w:rPr>
          <w:rFonts w:ascii="Arial" w:eastAsia="Arial" w:hAnsi="Arial" w:cs="Arial"/>
          <w:color w:val="000000" w:themeColor="text1"/>
          <w:sz w:val="22"/>
          <w:szCs w:val="22"/>
        </w:rPr>
      </w:pPr>
      <w:r w:rsidRPr="6D3FDA6D">
        <w:rPr>
          <w:rFonts w:ascii="Arial" w:eastAsia="Arial" w:hAnsi="Arial" w:cs="Arial"/>
          <w:color w:val="000000" w:themeColor="text1"/>
          <w:sz w:val="22"/>
          <w:szCs w:val="22"/>
        </w:rPr>
        <w:t>Table S1:</w:t>
      </w:r>
    </w:p>
    <w:p w14:paraId="5951B428" w14:textId="604FEF83" w:rsidR="13FA7BBB" w:rsidRDefault="13FA7BBB" w:rsidP="13FA7BBB">
      <w:pPr>
        <w:spacing w:after="0" w:line="240"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25"/>
        <w:gridCol w:w="1665"/>
        <w:gridCol w:w="1005"/>
        <w:gridCol w:w="1320"/>
        <w:gridCol w:w="1560"/>
        <w:gridCol w:w="735"/>
      </w:tblGrid>
      <w:tr w:rsidR="13FA7BBB" w14:paraId="0876E32C" w14:textId="77777777" w:rsidTr="6D3FDA6D">
        <w:trPr>
          <w:trHeight w:val="285"/>
        </w:trPr>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1A2B35F5" w14:textId="481300B4"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Experimental Injury Model</w:t>
            </w:r>
          </w:p>
        </w:tc>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00982481" w14:textId="681F9320"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Harvest Timepoint (days)</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24D752C8" w14:textId="5CBD21AB"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Non-Injured (N)</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5D6B6D34" w14:textId="19440990"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Saline (N)</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43173A71" w14:textId="424AE2DD"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Biomolecule (N)</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6A846192" w14:textId="60C5A1B5" w:rsidR="13FA7BBB" w:rsidRDefault="283303F6" w:rsidP="13FA7BBB">
            <w:pPr>
              <w:spacing w:after="0" w:line="240" w:lineRule="auto"/>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Total</w:t>
            </w:r>
          </w:p>
        </w:tc>
      </w:tr>
      <w:tr w:rsidR="13FA7BBB" w14:paraId="598B665D" w14:textId="77777777" w:rsidTr="6D3FDA6D">
        <w:trPr>
          <w:trHeight w:val="285"/>
        </w:trPr>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711C8C1" w14:textId="4260D523"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Recurrent Laryngeal Nerve</w:t>
            </w:r>
          </w:p>
        </w:tc>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9973F27" w14:textId="1423585D"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84</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EB4B5DE" w14:textId="7314AD02"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4C6AEA5" w14:textId="4A2B3F93"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1C64540" w14:textId="1F2540A3"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C40C025" w14:textId="01AC0354"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w:t>
            </w:r>
          </w:p>
        </w:tc>
      </w:tr>
      <w:tr w:rsidR="13FA7BBB" w14:paraId="503CF066" w14:textId="77777777" w:rsidTr="6D3FDA6D">
        <w:trPr>
          <w:trHeight w:val="285"/>
        </w:trPr>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39B6F8F" w14:textId="6DEF0AC2"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Sciatic Nerve</w:t>
            </w:r>
          </w:p>
        </w:tc>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26B8C5C" w14:textId="232749F3"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28</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48BE9DF" w14:textId="59D79650"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04FCFE9" w14:textId="12E9760C"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D9B4E64" w14:textId="0F7CE20A"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4AEA4B4" w14:textId="06A9E61D"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w:t>
            </w:r>
          </w:p>
        </w:tc>
      </w:tr>
      <w:tr w:rsidR="13FA7BBB" w14:paraId="69A517FC" w14:textId="77777777" w:rsidTr="6D3FDA6D">
        <w:trPr>
          <w:trHeight w:val="285"/>
        </w:trPr>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35E04B7" w14:textId="096EA7E0"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Sciatic Nerve</w:t>
            </w:r>
          </w:p>
        </w:tc>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8FDC670" w14:textId="57041795"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84</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28633CF" w14:textId="05665FB3"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7B7F31E" w14:textId="721E1F09"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807230A" w14:textId="191D781E"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A978EEF" w14:textId="65FA6911"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w:t>
            </w:r>
          </w:p>
        </w:tc>
      </w:tr>
      <w:tr w:rsidR="13FA7BBB" w14:paraId="55FF8C6A" w14:textId="77777777" w:rsidTr="6D3FDA6D">
        <w:trPr>
          <w:trHeight w:val="285"/>
        </w:trPr>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2131ED3" w14:textId="58DD405B"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Total</w:t>
            </w:r>
          </w:p>
        </w:tc>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199826B" w14:textId="2FDAD54C" w:rsidR="13FA7BBB" w:rsidRDefault="283303F6" w:rsidP="13FA7BBB">
            <w:pPr>
              <w:spacing w:after="0" w:line="240" w:lineRule="auto"/>
              <w:jc w:val="center"/>
              <w:rPr>
                <w:rFonts w:ascii="Times New Roman" w:eastAsia="Times New Roman" w:hAnsi="Times New Roman" w:cs="Times New Roman"/>
                <w:color w:val="000000" w:themeColor="text1"/>
              </w:rPr>
            </w:pPr>
            <w:r w:rsidRPr="6D3FDA6D">
              <w:rPr>
                <w:rFonts w:ascii="Times New Roman" w:eastAsia="Times New Roman" w:hAnsi="Times New Roman" w:cs="Times New Roman"/>
                <w:color w:val="000000" w:themeColor="text1"/>
              </w:rPr>
              <w:t xml:space="preserve"> </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E189375" w14:textId="4658036B" w:rsidR="13FA7BBB" w:rsidRDefault="283303F6" w:rsidP="13FA7BBB">
            <w:pPr>
              <w:spacing w:after="0" w:line="240" w:lineRule="auto"/>
              <w:jc w:val="center"/>
              <w:rPr>
                <w:rFonts w:ascii="Times New Roman" w:eastAsia="Times New Roman" w:hAnsi="Times New Roman" w:cs="Times New Roman"/>
                <w:color w:val="000000" w:themeColor="text1"/>
              </w:rPr>
            </w:pPr>
            <w:r w:rsidRPr="6D3FDA6D">
              <w:rPr>
                <w:rFonts w:ascii="Times New Roman" w:eastAsia="Times New Roman" w:hAnsi="Times New Roman" w:cs="Times New Roman"/>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ABBA140" w14:textId="2DE0A091" w:rsidR="13FA7BBB" w:rsidRDefault="283303F6" w:rsidP="13FA7BBB">
            <w:pPr>
              <w:spacing w:after="0" w:line="240" w:lineRule="auto"/>
              <w:jc w:val="center"/>
              <w:rPr>
                <w:rFonts w:ascii="Times New Roman" w:eastAsia="Times New Roman" w:hAnsi="Times New Roman" w:cs="Times New Roman"/>
                <w:color w:val="000000" w:themeColor="text1"/>
              </w:rPr>
            </w:pPr>
            <w:r w:rsidRPr="6D3FDA6D">
              <w:rPr>
                <w:rFonts w:ascii="Times New Roman" w:eastAsia="Times New Roman" w:hAnsi="Times New Roman" w:cs="Times New Roman"/>
                <w:color w:val="000000" w:themeColor="text1"/>
              </w:rPr>
              <w:t xml:space="preser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9963998" w14:textId="79248BC4" w:rsidR="13FA7BBB" w:rsidRDefault="283303F6" w:rsidP="13FA7BBB">
            <w:pPr>
              <w:spacing w:after="0" w:line="240" w:lineRule="auto"/>
              <w:jc w:val="center"/>
              <w:rPr>
                <w:rFonts w:ascii="Times New Roman" w:eastAsia="Times New Roman" w:hAnsi="Times New Roman" w:cs="Times New Roman"/>
                <w:color w:val="000000" w:themeColor="text1"/>
              </w:rPr>
            </w:pPr>
            <w:r w:rsidRPr="6D3FDA6D">
              <w:rPr>
                <w:rFonts w:ascii="Times New Roman" w:eastAsia="Times New Roman" w:hAnsi="Times New Roman" w:cs="Times New Roman"/>
                <w:color w:val="000000" w:themeColor="text1"/>
              </w:rPr>
              <w:t xml:space="preserve"> </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B7FC54C" w14:textId="544B02A9" w:rsidR="13FA7BBB" w:rsidRDefault="283303F6" w:rsidP="13FA7BBB">
            <w:pPr>
              <w:spacing w:after="0" w:line="240" w:lineRule="auto"/>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45</w:t>
            </w:r>
          </w:p>
        </w:tc>
      </w:tr>
    </w:tbl>
    <w:p w14:paraId="6F81795E" w14:textId="0874CCF9" w:rsidR="13FA7BBB" w:rsidRDefault="13FA7BBB" w:rsidP="335BBD30">
      <w:pPr>
        <w:spacing w:after="0" w:line="240" w:lineRule="auto"/>
        <w:rPr>
          <w:rFonts w:ascii="Arial" w:eastAsia="Arial" w:hAnsi="Arial" w:cs="Arial"/>
          <w:color w:val="000000" w:themeColor="text1"/>
          <w:sz w:val="22"/>
          <w:szCs w:val="22"/>
        </w:rPr>
      </w:pPr>
    </w:p>
    <w:p w14:paraId="09DF3D56" w14:textId="5B9AA376" w:rsidR="13FA7BBB" w:rsidRDefault="13FA7BBB" w:rsidP="335BBD30">
      <w:pPr>
        <w:spacing w:after="0" w:line="240" w:lineRule="auto"/>
        <w:rPr>
          <w:rFonts w:ascii="Arial" w:eastAsia="Arial" w:hAnsi="Arial" w:cs="Arial"/>
          <w:color w:val="000000" w:themeColor="text1"/>
          <w:sz w:val="22"/>
          <w:szCs w:val="22"/>
        </w:rPr>
      </w:pPr>
    </w:p>
    <w:p w14:paraId="03F99DD0" w14:textId="3A579A77" w:rsidR="343A2314" w:rsidRDefault="028F07FA" w:rsidP="13FA7BBB">
      <w:pPr>
        <w:spacing w:after="0"/>
        <w:rPr>
          <w:rFonts w:ascii="Arial" w:eastAsia="Arial" w:hAnsi="Arial" w:cs="Arial"/>
          <w:color w:val="000000" w:themeColor="text1"/>
          <w:sz w:val="22"/>
          <w:szCs w:val="22"/>
        </w:rPr>
      </w:pPr>
      <w:r w:rsidRPr="6D3FDA6D">
        <w:rPr>
          <w:rFonts w:ascii="Arial" w:eastAsia="Arial" w:hAnsi="Arial" w:cs="Arial"/>
          <w:color w:val="000000" w:themeColor="text1"/>
          <w:sz w:val="22"/>
          <w:szCs w:val="22"/>
        </w:rPr>
        <w:t>Table S2:</w:t>
      </w:r>
    </w:p>
    <w:p w14:paraId="33023883" w14:textId="5675E3A5" w:rsidR="13FA7BBB" w:rsidRDefault="13FA7BBB" w:rsidP="13FA7BBB">
      <w:pPr>
        <w:spacing w:after="0"/>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00"/>
        <w:gridCol w:w="1395"/>
        <w:gridCol w:w="780"/>
        <w:gridCol w:w="735"/>
        <w:gridCol w:w="900"/>
        <w:gridCol w:w="885"/>
        <w:gridCol w:w="1965"/>
        <w:gridCol w:w="1140"/>
      </w:tblGrid>
      <w:tr w:rsidR="13FA7BBB" w14:paraId="0493C26A" w14:textId="77777777" w:rsidTr="6D3FDA6D">
        <w:trPr>
          <w:trHeight w:val="285"/>
        </w:trPr>
        <w:tc>
          <w:tcPr>
            <w:tcW w:w="15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1DB0C717" w14:textId="19CD13D8"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Model (timepoint)</w:t>
            </w:r>
          </w:p>
        </w:tc>
        <w:tc>
          <w:tcPr>
            <w:tcW w:w="139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474C5644" w14:textId="49BC0EEF"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Group</w:t>
            </w:r>
          </w:p>
        </w:tc>
        <w:tc>
          <w:tcPr>
            <w:tcW w:w="15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091B7316" w14:textId="2F42B4D5"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Injured µm</w:t>
            </w:r>
          </w:p>
        </w:tc>
        <w:tc>
          <w:tcPr>
            <w:tcW w:w="1785" w:type="dxa"/>
            <w:gridSpan w:val="2"/>
            <w:tcBorders>
              <w:top w:val="single" w:sz="6" w:space="0" w:color="000000" w:themeColor="text1"/>
              <w:left w:val="nil"/>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127CAC63" w14:textId="4C3D6266"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Uninjured µm</w:t>
            </w:r>
          </w:p>
        </w:tc>
        <w:tc>
          <w:tcPr>
            <w:tcW w:w="19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00F3954D" w14:textId="5C884B89"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I/U ratio (mean ± SD)</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07C6D62D" w14:textId="241CABAB"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p (vs Normal)</w:t>
            </w:r>
          </w:p>
        </w:tc>
      </w:tr>
      <w:tr w:rsidR="13FA7BBB" w14:paraId="60376257" w14:textId="77777777" w:rsidTr="6D3FDA6D">
        <w:trPr>
          <w:trHeight w:val="285"/>
        </w:trPr>
        <w:tc>
          <w:tcPr>
            <w:tcW w:w="1500" w:type="dxa"/>
            <w:vMerge/>
            <w:vAlign w:val="center"/>
          </w:tcPr>
          <w:p w14:paraId="02A2095E" w14:textId="77777777" w:rsidR="000F2601" w:rsidRDefault="000F2601"/>
        </w:tc>
        <w:tc>
          <w:tcPr>
            <w:tcW w:w="1395" w:type="dxa"/>
            <w:vMerge/>
            <w:vAlign w:val="center"/>
          </w:tcPr>
          <w:p w14:paraId="4D502A1A" w14:textId="77777777" w:rsidR="000F2601" w:rsidRDefault="000F2601"/>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36F10B2C" w14:textId="10922BD0"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Mean</w:t>
            </w:r>
          </w:p>
        </w:tc>
        <w:tc>
          <w:tcPr>
            <w:tcW w:w="735"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48250B2B" w14:textId="450EDE0A"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SD</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3B0CB220" w14:textId="10C3375D"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Mean</w:t>
            </w:r>
          </w:p>
        </w:tc>
        <w:tc>
          <w:tcPr>
            <w:tcW w:w="885"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120" w:type="dxa"/>
              <w:bottom w:w="60" w:type="dxa"/>
              <w:right w:w="120" w:type="dxa"/>
            </w:tcMar>
            <w:vAlign w:val="center"/>
          </w:tcPr>
          <w:p w14:paraId="484CD495" w14:textId="7D3679F8" w:rsidR="13FA7BBB" w:rsidRDefault="283303F6" w:rsidP="13FA7BBB">
            <w:pPr>
              <w:spacing w:after="0"/>
              <w:jc w:val="center"/>
              <w:rPr>
                <w:rFonts w:ascii="Times New Roman" w:eastAsia="Times New Roman" w:hAnsi="Times New Roman" w:cs="Times New Roman"/>
                <w:color w:val="000000" w:themeColor="text1"/>
                <w:sz w:val="18"/>
                <w:szCs w:val="18"/>
              </w:rPr>
            </w:pPr>
            <w:r w:rsidRPr="6D3FDA6D">
              <w:rPr>
                <w:rFonts w:ascii="Times New Roman" w:eastAsia="Times New Roman" w:hAnsi="Times New Roman" w:cs="Times New Roman"/>
                <w:b/>
                <w:bCs/>
                <w:color w:val="000000" w:themeColor="text1"/>
                <w:sz w:val="18"/>
                <w:szCs w:val="18"/>
              </w:rPr>
              <w:t>SD</w:t>
            </w:r>
          </w:p>
        </w:tc>
        <w:tc>
          <w:tcPr>
            <w:tcW w:w="1965" w:type="dxa"/>
            <w:vMerge/>
            <w:vAlign w:val="center"/>
          </w:tcPr>
          <w:p w14:paraId="2AE6D617" w14:textId="77777777" w:rsidR="000F2601" w:rsidRDefault="000F2601"/>
        </w:tc>
        <w:tc>
          <w:tcPr>
            <w:tcW w:w="1140" w:type="dxa"/>
            <w:vMerge/>
            <w:vAlign w:val="center"/>
          </w:tcPr>
          <w:p w14:paraId="47C64AE8" w14:textId="77777777" w:rsidR="000F2601" w:rsidRDefault="000F2601"/>
        </w:tc>
      </w:tr>
      <w:tr w:rsidR="13FA7BBB" w14:paraId="11E46593" w14:textId="77777777" w:rsidTr="6D3FDA6D">
        <w:trPr>
          <w:trHeight w:val="285"/>
        </w:trPr>
        <w:tc>
          <w:tcPr>
            <w:tcW w:w="15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485D87D" w14:textId="5B37A43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RLN (84 day)</w:t>
            </w:r>
          </w:p>
        </w:tc>
        <w:tc>
          <w:tcPr>
            <w:tcW w:w="1395" w:type="dxa"/>
            <w:tcBorders>
              <w:top w:val="nil"/>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A8009D9" w14:textId="21797024"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Normal</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E5E9C7B" w14:textId="617FBC1F"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22.92</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89686A6" w14:textId="2F7BC143"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5.54</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D83852A" w14:textId="2D1B04D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21.45</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22C6578" w14:textId="373C473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3.13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687991B" w14:textId="23E9FEC5"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1.057 ± 0.110</w:t>
            </w:r>
          </w:p>
        </w:tc>
        <w:tc>
          <w:tcPr>
            <w:tcW w:w="1140" w:type="dxa"/>
            <w:tcBorders>
              <w:top w:val="nil"/>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3E6CC62" w14:textId="7E2FF065"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w:t>
            </w:r>
          </w:p>
        </w:tc>
      </w:tr>
      <w:tr w:rsidR="13FA7BBB" w14:paraId="23D11AD4" w14:textId="77777777" w:rsidTr="6D3FDA6D">
        <w:trPr>
          <w:trHeight w:val="285"/>
        </w:trPr>
        <w:tc>
          <w:tcPr>
            <w:tcW w:w="1500" w:type="dxa"/>
            <w:vMerge/>
            <w:vAlign w:val="center"/>
          </w:tcPr>
          <w:p w14:paraId="22A91A44"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58B2662" w14:textId="4EFDF58B"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Saline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799436B" w14:textId="7F8E26B7"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17.77</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B54F247" w14:textId="452C419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1.68</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4CE1B7E" w14:textId="3C505E67"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26.08</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F3BEFED" w14:textId="6547EDB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1.49</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F761A62" w14:textId="45AFE83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0.683 ± 0.076</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1847956" w14:textId="0C648FC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b/>
                <w:bCs/>
                <w:color w:val="000000" w:themeColor="text1"/>
                <w:sz w:val="20"/>
                <w:szCs w:val="20"/>
              </w:rPr>
              <w:t>0.004 **</w:t>
            </w:r>
          </w:p>
        </w:tc>
      </w:tr>
      <w:tr w:rsidR="13FA7BBB" w14:paraId="0650D407" w14:textId="77777777" w:rsidTr="6D3FDA6D">
        <w:trPr>
          <w:trHeight w:val="285"/>
        </w:trPr>
        <w:tc>
          <w:tcPr>
            <w:tcW w:w="1500" w:type="dxa"/>
            <w:vMerge/>
            <w:vAlign w:val="center"/>
          </w:tcPr>
          <w:p w14:paraId="756695EE"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6B2B87E" w14:textId="1919BD8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Biomolecule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950AF76" w14:textId="48E5FD4A"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20.10</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F996B88" w14:textId="77ACBF1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5.41</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A147F41" w14:textId="40BB59B2"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17.49</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7244E5F" w14:textId="6E3BC808"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3.83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843E1BC" w14:textId="038696F8"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1.146 ± 0.167</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7C31319" w14:textId="10599DD2"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0.672 ns</w:t>
            </w:r>
          </w:p>
        </w:tc>
      </w:tr>
      <w:tr w:rsidR="13FA7BBB" w14:paraId="33054161" w14:textId="77777777" w:rsidTr="6D3FDA6D">
        <w:trPr>
          <w:trHeight w:val="285"/>
        </w:trPr>
        <w:tc>
          <w:tcPr>
            <w:tcW w:w="15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66131AA" w14:textId="09173A9D"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Sciatic (28 day)</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3C0F028" w14:textId="30D7985A"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Normal</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D2F152F" w14:textId="3F130A3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15.81</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94E4FAE" w14:textId="61C42862"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2.04</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5162859" w14:textId="1B78212C"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16.99</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0464FBC" w14:textId="2694C2EC"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4.66</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A4406EF" w14:textId="2D4EEDBC"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0.976 ± 0.230</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C361592" w14:textId="111AAEC4"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w:t>
            </w:r>
          </w:p>
        </w:tc>
      </w:tr>
      <w:tr w:rsidR="13FA7BBB" w14:paraId="0FDAE747" w14:textId="77777777" w:rsidTr="6D3FDA6D">
        <w:trPr>
          <w:trHeight w:val="285"/>
        </w:trPr>
        <w:tc>
          <w:tcPr>
            <w:tcW w:w="1500" w:type="dxa"/>
            <w:vMerge/>
            <w:vAlign w:val="center"/>
          </w:tcPr>
          <w:p w14:paraId="0D5CF74B"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08248FE" w14:textId="59E8B4D2"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Saline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393DA25" w14:textId="0DCCFF6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12.43</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01CCC36" w14:textId="69F1333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0.47</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510AEF3" w14:textId="1630CECD"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14.93</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EED743C" w14:textId="03E66BF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1.62</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404B135" w14:textId="6DBE09B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0.839 ± 0.077</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4685958" w14:textId="28FE8FD4"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0.472 ns</w:t>
            </w:r>
          </w:p>
        </w:tc>
      </w:tr>
      <w:tr w:rsidR="13FA7BBB" w14:paraId="4C8F14DF" w14:textId="77777777" w:rsidTr="6D3FDA6D">
        <w:trPr>
          <w:trHeight w:val="285"/>
        </w:trPr>
        <w:tc>
          <w:tcPr>
            <w:tcW w:w="1500" w:type="dxa"/>
            <w:vMerge/>
            <w:vAlign w:val="center"/>
          </w:tcPr>
          <w:p w14:paraId="04599D12"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B5C19CF" w14:textId="22469EE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Biomolecule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84CDC34" w14:textId="61D0A27B"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13.46</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D0873BB" w14:textId="7BC8872D"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2.75</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7E19DD6" w14:textId="378A383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15.91</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3FB90D2" w14:textId="298C1DB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2.45</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9F80066" w14:textId="2364F52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0.844 ± 0.090</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9F91F35" w14:textId="67B92D4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0.505 ns</w:t>
            </w:r>
          </w:p>
        </w:tc>
      </w:tr>
      <w:tr w:rsidR="13FA7BBB" w14:paraId="5BBBEB41" w14:textId="77777777" w:rsidTr="6D3FDA6D">
        <w:trPr>
          <w:trHeight w:val="285"/>
        </w:trPr>
        <w:tc>
          <w:tcPr>
            <w:tcW w:w="15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ADAD473" w14:textId="30FAA29B"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Sciatic (84 day)</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996413D" w14:textId="71445963"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Normal</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7D1E548" w14:textId="42B3B7B3"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14.12</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62AE3FF" w14:textId="49C5B6C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1.53</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5E528A71" w14:textId="6D53A6A5"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14.27</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A96786B" w14:textId="5BD6846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0.89</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B84BE01" w14:textId="04D76D68"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0.997 ± 0.171</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D12B4B2" w14:textId="0BFD1C33"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w:t>
            </w:r>
          </w:p>
        </w:tc>
      </w:tr>
      <w:tr w:rsidR="13FA7BBB" w14:paraId="60141FDF" w14:textId="77777777" w:rsidTr="6D3FDA6D">
        <w:trPr>
          <w:trHeight w:val="285"/>
        </w:trPr>
        <w:tc>
          <w:tcPr>
            <w:tcW w:w="1500" w:type="dxa"/>
            <w:vMerge/>
            <w:vAlign w:val="center"/>
          </w:tcPr>
          <w:p w14:paraId="7F4D2AB0"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B0F3FC6" w14:textId="5329DBD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Saline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25B794B6" w14:textId="27D639FF"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12.76</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3E91553" w14:textId="0920AEBE"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1.08</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FECF039" w14:textId="122C665D"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14.30</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D9E140A" w14:textId="3759D5DB"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0.53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41DD969" w14:textId="6BC5D8B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0.893 ± 0.088</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BB9C375" w14:textId="032DE6B0"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0.559 ns</w:t>
            </w:r>
          </w:p>
        </w:tc>
      </w:tr>
      <w:tr w:rsidR="13FA7BBB" w14:paraId="22257C45" w14:textId="77777777" w:rsidTr="6D3FDA6D">
        <w:trPr>
          <w:trHeight w:val="285"/>
        </w:trPr>
        <w:tc>
          <w:tcPr>
            <w:tcW w:w="1500" w:type="dxa"/>
            <w:vMerge/>
            <w:vAlign w:val="center"/>
          </w:tcPr>
          <w:p w14:paraId="29ED461D" w14:textId="77777777" w:rsidR="000F2601" w:rsidRDefault="000F2601"/>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308CAED1" w14:textId="1AC22312"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Biomolecule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7FCBE330" w14:textId="4160DCF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12.61</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B146E77" w14:textId="0A73376F"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1.04</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0DA7EF24" w14:textId="3141D509"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13.48</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185972FE" w14:textId="3CB16141"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1.53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617FEAB0" w14:textId="4CAAFC76"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0.938 ± 0.049</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20" w:type="dxa"/>
              <w:bottom w:w="60" w:type="dxa"/>
              <w:right w:w="120" w:type="dxa"/>
            </w:tcMar>
            <w:vAlign w:val="center"/>
          </w:tcPr>
          <w:p w14:paraId="481D138A" w14:textId="23F058DB" w:rsidR="13FA7BBB" w:rsidRDefault="283303F6" w:rsidP="13FA7BBB">
            <w:pPr>
              <w:spacing w:after="0"/>
              <w:jc w:val="center"/>
              <w:rPr>
                <w:rFonts w:ascii="Times New Roman" w:eastAsia="Times New Roman" w:hAnsi="Times New Roman" w:cs="Times New Roman"/>
                <w:color w:val="000000" w:themeColor="text1"/>
                <w:sz w:val="20"/>
                <w:szCs w:val="20"/>
              </w:rPr>
            </w:pPr>
            <w:r w:rsidRPr="6D3FDA6D">
              <w:rPr>
                <w:rFonts w:ascii="Times New Roman" w:eastAsia="Times New Roman" w:hAnsi="Times New Roman" w:cs="Times New Roman"/>
                <w:color w:val="000000" w:themeColor="text1"/>
                <w:sz w:val="20"/>
                <w:szCs w:val="20"/>
              </w:rPr>
              <w:t>0.796 ns</w:t>
            </w:r>
          </w:p>
        </w:tc>
      </w:tr>
    </w:tbl>
    <w:p w14:paraId="7D35C59D" w14:textId="18DDF87F" w:rsidR="13FA7BBB" w:rsidRDefault="13FA7BBB" w:rsidP="13FA7BBB">
      <w:pPr>
        <w:spacing w:after="0" w:line="276" w:lineRule="auto"/>
        <w:rPr>
          <w:rFonts w:ascii="Arial" w:hAnsi="Arial" w:cs="Arial"/>
        </w:rPr>
      </w:pPr>
    </w:p>
    <w:p w14:paraId="74B878F6" w14:textId="2BF56967" w:rsidR="13FA7BBB" w:rsidRDefault="13FA7BBB" w:rsidP="13FA7BBB">
      <w:pPr>
        <w:spacing w:after="0" w:line="276" w:lineRule="auto"/>
        <w:rPr>
          <w:rFonts w:ascii="Arial" w:hAnsi="Arial" w:cs="Arial"/>
        </w:rPr>
      </w:pPr>
    </w:p>
    <w:p w14:paraId="33A5D8BD" w14:textId="7954F366" w:rsidR="77F5373D" w:rsidRDefault="77F5373D" w:rsidP="127955A4">
      <w:pPr>
        <w:spacing w:after="0" w:line="276" w:lineRule="auto"/>
        <w:rPr>
          <w:rFonts w:ascii="Arial" w:eastAsia="Arial" w:hAnsi="Arial" w:cs="Arial"/>
        </w:rPr>
      </w:pPr>
    </w:p>
    <w:sectPr w:rsidR="77F5373D" w:rsidSect="009C1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erif 4">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58D7"/>
    <w:multiLevelType w:val="hybridMultilevel"/>
    <w:tmpl w:val="33D604BC"/>
    <w:lvl w:ilvl="0" w:tplc="0352AECA">
      <w:start w:val="1"/>
      <w:numFmt w:val="decimal"/>
      <w:lvlText w:val="%1."/>
      <w:lvlJc w:val="left"/>
      <w:pPr>
        <w:ind w:left="720" w:hanging="360"/>
      </w:pPr>
    </w:lvl>
    <w:lvl w:ilvl="1" w:tplc="1936A9A6">
      <w:start w:val="1"/>
      <w:numFmt w:val="lowerLetter"/>
      <w:lvlText w:val="%2."/>
      <w:lvlJc w:val="left"/>
      <w:pPr>
        <w:ind w:left="1440" w:hanging="360"/>
      </w:pPr>
    </w:lvl>
    <w:lvl w:ilvl="2" w:tplc="BEC047C4">
      <w:start w:val="1"/>
      <w:numFmt w:val="lowerRoman"/>
      <w:lvlText w:val="%3."/>
      <w:lvlJc w:val="right"/>
      <w:pPr>
        <w:ind w:left="2160" w:hanging="180"/>
      </w:pPr>
    </w:lvl>
    <w:lvl w:ilvl="3" w:tplc="BD284E2C">
      <w:start w:val="1"/>
      <w:numFmt w:val="decimal"/>
      <w:lvlText w:val="%4."/>
      <w:lvlJc w:val="left"/>
      <w:pPr>
        <w:ind w:left="2880" w:hanging="360"/>
      </w:pPr>
    </w:lvl>
    <w:lvl w:ilvl="4" w:tplc="542CADA6">
      <w:start w:val="1"/>
      <w:numFmt w:val="lowerLetter"/>
      <w:lvlText w:val="%5."/>
      <w:lvlJc w:val="left"/>
      <w:pPr>
        <w:ind w:left="3600" w:hanging="360"/>
      </w:pPr>
    </w:lvl>
    <w:lvl w:ilvl="5" w:tplc="2CECD7DC">
      <w:start w:val="1"/>
      <w:numFmt w:val="lowerRoman"/>
      <w:lvlText w:val="%6."/>
      <w:lvlJc w:val="right"/>
      <w:pPr>
        <w:ind w:left="4320" w:hanging="180"/>
      </w:pPr>
    </w:lvl>
    <w:lvl w:ilvl="6" w:tplc="96280354">
      <w:start w:val="1"/>
      <w:numFmt w:val="decimal"/>
      <w:lvlText w:val="%7."/>
      <w:lvlJc w:val="left"/>
      <w:pPr>
        <w:ind w:left="5040" w:hanging="360"/>
      </w:pPr>
    </w:lvl>
    <w:lvl w:ilvl="7" w:tplc="FA54EEE0">
      <w:start w:val="1"/>
      <w:numFmt w:val="lowerLetter"/>
      <w:lvlText w:val="%8."/>
      <w:lvlJc w:val="left"/>
      <w:pPr>
        <w:ind w:left="5760" w:hanging="360"/>
      </w:pPr>
    </w:lvl>
    <w:lvl w:ilvl="8" w:tplc="C0F6240E">
      <w:start w:val="1"/>
      <w:numFmt w:val="lowerRoman"/>
      <w:lvlText w:val="%9."/>
      <w:lvlJc w:val="right"/>
      <w:pPr>
        <w:ind w:left="6480" w:hanging="180"/>
      </w:pPr>
    </w:lvl>
  </w:abstractNum>
  <w:abstractNum w:abstractNumId="1" w15:restartNumberingAfterBreak="0">
    <w:nsid w:val="158246C7"/>
    <w:multiLevelType w:val="hybridMultilevel"/>
    <w:tmpl w:val="09681AAC"/>
    <w:lvl w:ilvl="0" w:tplc="4C523CDA">
      <w:start w:val="1"/>
      <w:numFmt w:val="decimal"/>
      <w:lvlText w:val="S%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5102C"/>
    <w:multiLevelType w:val="hybridMultilevel"/>
    <w:tmpl w:val="6AA0D890"/>
    <w:lvl w:ilvl="0" w:tplc="A7CAA304">
      <w:start w:val="35"/>
      <w:numFmt w:val="decimal"/>
      <w:lvlText w:val="%1."/>
      <w:lvlJc w:val="left"/>
      <w:pPr>
        <w:ind w:left="720" w:hanging="360"/>
      </w:pPr>
      <w:rPr>
        <w:rFonts w:ascii="Arial" w:hAnsi="Arial" w:hint="default"/>
      </w:rPr>
    </w:lvl>
    <w:lvl w:ilvl="1" w:tplc="3A0C41A8">
      <w:start w:val="1"/>
      <w:numFmt w:val="lowerLetter"/>
      <w:lvlText w:val="%2."/>
      <w:lvlJc w:val="left"/>
      <w:pPr>
        <w:ind w:left="1260" w:hanging="360"/>
      </w:pPr>
    </w:lvl>
    <w:lvl w:ilvl="2" w:tplc="34C269A6">
      <w:start w:val="1"/>
      <w:numFmt w:val="lowerRoman"/>
      <w:lvlText w:val="%3."/>
      <w:lvlJc w:val="right"/>
      <w:pPr>
        <w:ind w:left="1980" w:hanging="180"/>
      </w:pPr>
    </w:lvl>
    <w:lvl w:ilvl="3" w:tplc="7982FB82">
      <w:start w:val="1"/>
      <w:numFmt w:val="decimal"/>
      <w:lvlText w:val="%4."/>
      <w:lvlJc w:val="left"/>
      <w:pPr>
        <w:ind w:left="2700" w:hanging="360"/>
      </w:pPr>
    </w:lvl>
    <w:lvl w:ilvl="4" w:tplc="4A921B5A">
      <w:start w:val="1"/>
      <w:numFmt w:val="lowerLetter"/>
      <w:lvlText w:val="%5."/>
      <w:lvlJc w:val="left"/>
      <w:pPr>
        <w:ind w:left="3420" w:hanging="360"/>
      </w:pPr>
    </w:lvl>
    <w:lvl w:ilvl="5" w:tplc="A11660F0">
      <w:start w:val="1"/>
      <w:numFmt w:val="lowerRoman"/>
      <w:lvlText w:val="%6."/>
      <w:lvlJc w:val="right"/>
      <w:pPr>
        <w:ind w:left="4140" w:hanging="180"/>
      </w:pPr>
    </w:lvl>
    <w:lvl w:ilvl="6" w:tplc="544A160E">
      <w:start w:val="1"/>
      <w:numFmt w:val="decimal"/>
      <w:lvlText w:val="%7."/>
      <w:lvlJc w:val="left"/>
      <w:pPr>
        <w:ind w:left="4860" w:hanging="360"/>
      </w:pPr>
    </w:lvl>
    <w:lvl w:ilvl="7" w:tplc="53FC6866">
      <w:start w:val="1"/>
      <w:numFmt w:val="lowerLetter"/>
      <w:lvlText w:val="%8."/>
      <w:lvlJc w:val="left"/>
      <w:pPr>
        <w:ind w:left="5580" w:hanging="360"/>
      </w:pPr>
    </w:lvl>
    <w:lvl w:ilvl="8" w:tplc="947848C0">
      <w:start w:val="1"/>
      <w:numFmt w:val="lowerRoman"/>
      <w:lvlText w:val="%9."/>
      <w:lvlJc w:val="right"/>
      <w:pPr>
        <w:ind w:left="6300" w:hanging="180"/>
      </w:pPr>
    </w:lvl>
  </w:abstractNum>
  <w:abstractNum w:abstractNumId="3" w15:restartNumberingAfterBreak="0">
    <w:nsid w:val="2CD275DF"/>
    <w:multiLevelType w:val="hybridMultilevel"/>
    <w:tmpl w:val="47CA812A"/>
    <w:lvl w:ilvl="0" w:tplc="A45CE6EE">
      <w:start w:val="14"/>
      <w:numFmt w:val="decimal"/>
      <w:lvlText w:val="%1."/>
      <w:lvlJc w:val="left"/>
      <w:pPr>
        <w:ind w:left="720" w:hanging="360"/>
      </w:pPr>
      <w:rPr>
        <w:rFonts w:ascii="Arial" w:hAnsi="Arial" w:hint="default"/>
      </w:rPr>
    </w:lvl>
    <w:lvl w:ilvl="1" w:tplc="DD4C3A9C">
      <w:start w:val="1"/>
      <w:numFmt w:val="lowerLetter"/>
      <w:lvlText w:val="%2."/>
      <w:lvlJc w:val="left"/>
      <w:pPr>
        <w:ind w:left="1260" w:hanging="360"/>
      </w:pPr>
    </w:lvl>
    <w:lvl w:ilvl="2" w:tplc="E286E2A4">
      <w:start w:val="1"/>
      <w:numFmt w:val="lowerRoman"/>
      <w:lvlText w:val="%3."/>
      <w:lvlJc w:val="right"/>
      <w:pPr>
        <w:ind w:left="1980" w:hanging="180"/>
      </w:pPr>
    </w:lvl>
    <w:lvl w:ilvl="3" w:tplc="4198B47E">
      <w:start w:val="1"/>
      <w:numFmt w:val="decimal"/>
      <w:lvlText w:val="%4."/>
      <w:lvlJc w:val="left"/>
      <w:pPr>
        <w:ind w:left="2700" w:hanging="360"/>
      </w:pPr>
    </w:lvl>
    <w:lvl w:ilvl="4" w:tplc="E2429214">
      <w:start w:val="1"/>
      <w:numFmt w:val="lowerLetter"/>
      <w:lvlText w:val="%5."/>
      <w:lvlJc w:val="left"/>
      <w:pPr>
        <w:ind w:left="3420" w:hanging="360"/>
      </w:pPr>
    </w:lvl>
    <w:lvl w:ilvl="5" w:tplc="889ADB78">
      <w:start w:val="1"/>
      <w:numFmt w:val="lowerRoman"/>
      <w:lvlText w:val="%6."/>
      <w:lvlJc w:val="right"/>
      <w:pPr>
        <w:ind w:left="4140" w:hanging="180"/>
      </w:pPr>
    </w:lvl>
    <w:lvl w:ilvl="6" w:tplc="3000E028">
      <w:start w:val="1"/>
      <w:numFmt w:val="decimal"/>
      <w:lvlText w:val="%7."/>
      <w:lvlJc w:val="left"/>
      <w:pPr>
        <w:ind w:left="4860" w:hanging="360"/>
      </w:pPr>
    </w:lvl>
    <w:lvl w:ilvl="7" w:tplc="E5521E54">
      <w:start w:val="1"/>
      <w:numFmt w:val="lowerLetter"/>
      <w:lvlText w:val="%8."/>
      <w:lvlJc w:val="left"/>
      <w:pPr>
        <w:ind w:left="5580" w:hanging="360"/>
      </w:pPr>
    </w:lvl>
    <w:lvl w:ilvl="8" w:tplc="C1B85B64">
      <w:start w:val="1"/>
      <w:numFmt w:val="lowerRoman"/>
      <w:lvlText w:val="%9."/>
      <w:lvlJc w:val="right"/>
      <w:pPr>
        <w:ind w:left="6300" w:hanging="180"/>
      </w:pPr>
    </w:lvl>
  </w:abstractNum>
  <w:abstractNum w:abstractNumId="4" w15:restartNumberingAfterBreak="0">
    <w:nsid w:val="2F57B59B"/>
    <w:multiLevelType w:val="hybridMultilevel"/>
    <w:tmpl w:val="113A2DF4"/>
    <w:lvl w:ilvl="0" w:tplc="4E7659D4">
      <w:start w:val="1"/>
      <w:numFmt w:val="decimal"/>
      <w:lvlText w:val="%1."/>
      <w:lvlJc w:val="left"/>
      <w:pPr>
        <w:ind w:left="720" w:hanging="360"/>
      </w:pPr>
    </w:lvl>
    <w:lvl w:ilvl="1" w:tplc="AD728118">
      <w:start w:val="1"/>
      <w:numFmt w:val="lowerLetter"/>
      <w:lvlText w:val="%2."/>
      <w:lvlJc w:val="left"/>
      <w:pPr>
        <w:ind w:left="1440" w:hanging="360"/>
      </w:pPr>
    </w:lvl>
    <w:lvl w:ilvl="2" w:tplc="0ECC0206">
      <w:start w:val="1"/>
      <w:numFmt w:val="lowerRoman"/>
      <w:lvlText w:val="%3."/>
      <w:lvlJc w:val="right"/>
      <w:pPr>
        <w:ind w:left="2160" w:hanging="180"/>
      </w:pPr>
    </w:lvl>
    <w:lvl w:ilvl="3" w:tplc="F6B07DD6">
      <w:start w:val="1"/>
      <w:numFmt w:val="decimal"/>
      <w:lvlText w:val="%4."/>
      <w:lvlJc w:val="left"/>
      <w:pPr>
        <w:ind w:left="2880" w:hanging="360"/>
      </w:pPr>
    </w:lvl>
    <w:lvl w:ilvl="4" w:tplc="040A4136">
      <w:start w:val="1"/>
      <w:numFmt w:val="lowerLetter"/>
      <w:lvlText w:val="%5."/>
      <w:lvlJc w:val="left"/>
      <w:pPr>
        <w:ind w:left="3600" w:hanging="360"/>
      </w:pPr>
    </w:lvl>
    <w:lvl w:ilvl="5" w:tplc="0E0E7E46">
      <w:start w:val="1"/>
      <w:numFmt w:val="lowerRoman"/>
      <w:lvlText w:val="%6."/>
      <w:lvlJc w:val="right"/>
      <w:pPr>
        <w:ind w:left="4320" w:hanging="180"/>
      </w:pPr>
    </w:lvl>
    <w:lvl w:ilvl="6" w:tplc="B01EDBC4">
      <w:start w:val="1"/>
      <w:numFmt w:val="decimal"/>
      <w:lvlText w:val="%7."/>
      <w:lvlJc w:val="left"/>
      <w:pPr>
        <w:ind w:left="5040" w:hanging="360"/>
      </w:pPr>
    </w:lvl>
    <w:lvl w:ilvl="7" w:tplc="6F38365C">
      <w:start w:val="1"/>
      <w:numFmt w:val="lowerLetter"/>
      <w:lvlText w:val="%8."/>
      <w:lvlJc w:val="left"/>
      <w:pPr>
        <w:ind w:left="5760" w:hanging="360"/>
      </w:pPr>
    </w:lvl>
    <w:lvl w:ilvl="8" w:tplc="B2E22AFC">
      <w:start w:val="1"/>
      <w:numFmt w:val="lowerRoman"/>
      <w:lvlText w:val="%9."/>
      <w:lvlJc w:val="right"/>
      <w:pPr>
        <w:ind w:left="6480" w:hanging="180"/>
      </w:pPr>
    </w:lvl>
  </w:abstractNum>
  <w:abstractNum w:abstractNumId="5" w15:restartNumberingAfterBreak="0">
    <w:nsid w:val="3EA28B1C"/>
    <w:multiLevelType w:val="hybridMultilevel"/>
    <w:tmpl w:val="6F1E537E"/>
    <w:lvl w:ilvl="0" w:tplc="8F181950">
      <w:start w:val="16"/>
      <w:numFmt w:val="decimal"/>
      <w:lvlText w:val="%1."/>
      <w:lvlJc w:val="left"/>
      <w:pPr>
        <w:ind w:left="720" w:hanging="360"/>
      </w:pPr>
      <w:rPr>
        <w:rFonts w:ascii="Arial" w:hAnsi="Arial" w:hint="default"/>
      </w:rPr>
    </w:lvl>
    <w:lvl w:ilvl="1" w:tplc="8B4436E0">
      <w:start w:val="1"/>
      <w:numFmt w:val="lowerLetter"/>
      <w:lvlText w:val="%2."/>
      <w:lvlJc w:val="left"/>
      <w:pPr>
        <w:ind w:left="1260" w:hanging="360"/>
      </w:pPr>
    </w:lvl>
    <w:lvl w:ilvl="2" w:tplc="9C5AA000">
      <w:start w:val="1"/>
      <w:numFmt w:val="lowerRoman"/>
      <w:lvlText w:val="%3."/>
      <w:lvlJc w:val="right"/>
      <w:pPr>
        <w:ind w:left="1980" w:hanging="180"/>
      </w:pPr>
    </w:lvl>
    <w:lvl w:ilvl="3" w:tplc="A330190A">
      <w:start w:val="1"/>
      <w:numFmt w:val="decimal"/>
      <w:lvlText w:val="%4."/>
      <w:lvlJc w:val="left"/>
      <w:pPr>
        <w:ind w:left="2700" w:hanging="360"/>
      </w:pPr>
    </w:lvl>
    <w:lvl w:ilvl="4" w:tplc="EE1EB7CA">
      <w:start w:val="1"/>
      <w:numFmt w:val="lowerLetter"/>
      <w:lvlText w:val="%5."/>
      <w:lvlJc w:val="left"/>
      <w:pPr>
        <w:ind w:left="3420" w:hanging="360"/>
      </w:pPr>
    </w:lvl>
    <w:lvl w:ilvl="5" w:tplc="4FB2D49E">
      <w:start w:val="1"/>
      <w:numFmt w:val="lowerRoman"/>
      <w:lvlText w:val="%6."/>
      <w:lvlJc w:val="right"/>
      <w:pPr>
        <w:ind w:left="4140" w:hanging="180"/>
      </w:pPr>
    </w:lvl>
    <w:lvl w:ilvl="6" w:tplc="5F0EF21A">
      <w:start w:val="1"/>
      <w:numFmt w:val="decimal"/>
      <w:lvlText w:val="%7."/>
      <w:lvlJc w:val="left"/>
      <w:pPr>
        <w:ind w:left="4860" w:hanging="360"/>
      </w:pPr>
    </w:lvl>
    <w:lvl w:ilvl="7" w:tplc="64905102">
      <w:start w:val="1"/>
      <w:numFmt w:val="lowerLetter"/>
      <w:lvlText w:val="%8."/>
      <w:lvlJc w:val="left"/>
      <w:pPr>
        <w:ind w:left="5580" w:hanging="360"/>
      </w:pPr>
    </w:lvl>
    <w:lvl w:ilvl="8" w:tplc="3666684E">
      <w:start w:val="1"/>
      <w:numFmt w:val="lowerRoman"/>
      <w:lvlText w:val="%9."/>
      <w:lvlJc w:val="right"/>
      <w:pPr>
        <w:ind w:left="6300" w:hanging="180"/>
      </w:pPr>
    </w:lvl>
  </w:abstractNum>
  <w:abstractNum w:abstractNumId="6" w15:restartNumberingAfterBreak="0">
    <w:nsid w:val="440C54F8"/>
    <w:multiLevelType w:val="hybridMultilevel"/>
    <w:tmpl w:val="62F83278"/>
    <w:lvl w:ilvl="0" w:tplc="802480BA">
      <w:start w:val="5"/>
      <w:numFmt w:val="decimal"/>
      <w:lvlText w:val="%1."/>
      <w:lvlJc w:val="left"/>
      <w:pPr>
        <w:ind w:left="720" w:hanging="360"/>
      </w:pPr>
      <w:rPr>
        <w:rFonts w:ascii="Arial" w:hAnsi="Arial" w:hint="default"/>
      </w:rPr>
    </w:lvl>
    <w:lvl w:ilvl="1" w:tplc="C0A85F42">
      <w:start w:val="1"/>
      <w:numFmt w:val="lowerLetter"/>
      <w:lvlText w:val="%2."/>
      <w:lvlJc w:val="left"/>
      <w:pPr>
        <w:ind w:left="1260" w:hanging="360"/>
      </w:pPr>
    </w:lvl>
    <w:lvl w:ilvl="2" w:tplc="C9E0506E">
      <w:start w:val="1"/>
      <w:numFmt w:val="lowerRoman"/>
      <w:lvlText w:val="%3."/>
      <w:lvlJc w:val="right"/>
      <w:pPr>
        <w:ind w:left="1980" w:hanging="180"/>
      </w:pPr>
    </w:lvl>
    <w:lvl w:ilvl="3" w:tplc="24D2E550">
      <w:start w:val="1"/>
      <w:numFmt w:val="decimal"/>
      <w:lvlText w:val="%4."/>
      <w:lvlJc w:val="left"/>
      <w:pPr>
        <w:ind w:left="2700" w:hanging="360"/>
      </w:pPr>
    </w:lvl>
    <w:lvl w:ilvl="4" w:tplc="EBFA6A8E">
      <w:start w:val="1"/>
      <w:numFmt w:val="lowerLetter"/>
      <w:lvlText w:val="%5."/>
      <w:lvlJc w:val="left"/>
      <w:pPr>
        <w:ind w:left="3420" w:hanging="360"/>
      </w:pPr>
    </w:lvl>
    <w:lvl w:ilvl="5" w:tplc="3BA80E30">
      <w:start w:val="1"/>
      <w:numFmt w:val="lowerRoman"/>
      <w:lvlText w:val="%6."/>
      <w:lvlJc w:val="right"/>
      <w:pPr>
        <w:ind w:left="4140" w:hanging="180"/>
      </w:pPr>
    </w:lvl>
    <w:lvl w:ilvl="6" w:tplc="A590370A">
      <w:start w:val="1"/>
      <w:numFmt w:val="decimal"/>
      <w:lvlText w:val="%7."/>
      <w:lvlJc w:val="left"/>
      <w:pPr>
        <w:ind w:left="4860" w:hanging="360"/>
      </w:pPr>
    </w:lvl>
    <w:lvl w:ilvl="7" w:tplc="C8587252">
      <w:start w:val="1"/>
      <w:numFmt w:val="lowerLetter"/>
      <w:lvlText w:val="%8."/>
      <w:lvlJc w:val="left"/>
      <w:pPr>
        <w:ind w:left="5580" w:hanging="360"/>
      </w:pPr>
    </w:lvl>
    <w:lvl w:ilvl="8" w:tplc="2EEC5A2E">
      <w:start w:val="1"/>
      <w:numFmt w:val="lowerRoman"/>
      <w:lvlText w:val="%9."/>
      <w:lvlJc w:val="right"/>
      <w:pPr>
        <w:ind w:left="6300" w:hanging="180"/>
      </w:pPr>
    </w:lvl>
  </w:abstractNum>
  <w:abstractNum w:abstractNumId="7" w15:restartNumberingAfterBreak="0">
    <w:nsid w:val="456DAE8D"/>
    <w:multiLevelType w:val="hybridMultilevel"/>
    <w:tmpl w:val="5A2CA9B4"/>
    <w:lvl w:ilvl="0" w:tplc="E340BE40">
      <w:start w:val="2"/>
      <w:numFmt w:val="decimal"/>
      <w:lvlText w:val="%1."/>
      <w:lvlJc w:val="left"/>
      <w:pPr>
        <w:ind w:left="720" w:hanging="360"/>
      </w:pPr>
      <w:rPr>
        <w:rFonts w:ascii="Arial" w:hAnsi="Arial" w:hint="default"/>
      </w:rPr>
    </w:lvl>
    <w:lvl w:ilvl="1" w:tplc="3BD48B4E">
      <w:start w:val="1"/>
      <w:numFmt w:val="lowerLetter"/>
      <w:lvlText w:val="%2."/>
      <w:lvlJc w:val="left"/>
      <w:pPr>
        <w:ind w:left="1260" w:hanging="360"/>
      </w:pPr>
    </w:lvl>
    <w:lvl w:ilvl="2" w:tplc="BC301410">
      <w:start w:val="1"/>
      <w:numFmt w:val="lowerRoman"/>
      <w:lvlText w:val="%3."/>
      <w:lvlJc w:val="right"/>
      <w:pPr>
        <w:ind w:left="1980" w:hanging="180"/>
      </w:pPr>
    </w:lvl>
    <w:lvl w:ilvl="3" w:tplc="18A4D16E">
      <w:start w:val="1"/>
      <w:numFmt w:val="decimal"/>
      <w:lvlText w:val="%4."/>
      <w:lvlJc w:val="left"/>
      <w:pPr>
        <w:ind w:left="2700" w:hanging="360"/>
      </w:pPr>
    </w:lvl>
    <w:lvl w:ilvl="4" w:tplc="E18E9D06">
      <w:start w:val="1"/>
      <w:numFmt w:val="lowerLetter"/>
      <w:lvlText w:val="%5."/>
      <w:lvlJc w:val="left"/>
      <w:pPr>
        <w:ind w:left="3420" w:hanging="360"/>
      </w:pPr>
    </w:lvl>
    <w:lvl w:ilvl="5" w:tplc="5B54354A">
      <w:start w:val="1"/>
      <w:numFmt w:val="lowerRoman"/>
      <w:lvlText w:val="%6."/>
      <w:lvlJc w:val="right"/>
      <w:pPr>
        <w:ind w:left="4140" w:hanging="180"/>
      </w:pPr>
    </w:lvl>
    <w:lvl w:ilvl="6" w:tplc="E6F84EFE">
      <w:start w:val="1"/>
      <w:numFmt w:val="decimal"/>
      <w:lvlText w:val="%7."/>
      <w:lvlJc w:val="left"/>
      <w:pPr>
        <w:ind w:left="4860" w:hanging="360"/>
      </w:pPr>
    </w:lvl>
    <w:lvl w:ilvl="7" w:tplc="F0A8E09A">
      <w:start w:val="1"/>
      <w:numFmt w:val="lowerLetter"/>
      <w:lvlText w:val="%8."/>
      <w:lvlJc w:val="left"/>
      <w:pPr>
        <w:ind w:left="5580" w:hanging="360"/>
      </w:pPr>
    </w:lvl>
    <w:lvl w:ilvl="8" w:tplc="1048F43C">
      <w:start w:val="1"/>
      <w:numFmt w:val="lowerRoman"/>
      <w:lvlText w:val="%9."/>
      <w:lvlJc w:val="right"/>
      <w:pPr>
        <w:ind w:left="6300" w:hanging="180"/>
      </w:pPr>
    </w:lvl>
  </w:abstractNum>
  <w:abstractNum w:abstractNumId="8" w15:restartNumberingAfterBreak="0">
    <w:nsid w:val="4E6EA79E"/>
    <w:multiLevelType w:val="hybridMultilevel"/>
    <w:tmpl w:val="6896A628"/>
    <w:lvl w:ilvl="0" w:tplc="D54C5DF0">
      <w:start w:val="27"/>
      <w:numFmt w:val="decimal"/>
      <w:lvlText w:val="%1."/>
      <w:lvlJc w:val="left"/>
      <w:pPr>
        <w:ind w:left="360" w:hanging="360"/>
      </w:pPr>
      <w:rPr>
        <w:rFonts w:ascii="Arial" w:hAnsi="Arial" w:hint="default"/>
      </w:rPr>
    </w:lvl>
    <w:lvl w:ilvl="1" w:tplc="47BA1D3A">
      <w:start w:val="1"/>
      <w:numFmt w:val="lowerLetter"/>
      <w:lvlText w:val="%2."/>
      <w:lvlJc w:val="left"/>
      <w:pPr>
        <w:ind w:left="900" w:hanging="360"/>
      </w:pPr>
    </w:lvl>
    <w:lvl w:ilvl="2" w:tplc="94A4EBDC">
      <w:start w:val="1"/>
      <w:numFmt w:val="lowerRoman"/>
      <w:lvlText w:val="%3."/>
      <w:lvlJc w:val="right"/>
      <w:pPr>
        <w:ind w:left="1620" w:hanging="180"/>
      </w:pPr>
    </w:lvl>
    <w:lvl w:ilvl="3" w:tplc="F098BD1C">
      <w:start w:val="1"/>
      <w:numFmt w:val="decimal"/>
      <w:lvlText w:val="%4."/>
      <w:lvlJc w:val="left"/>
      <w:pPr>
        <w:ind w:left="2340" w:hanging="360"/>
      </w:pPr>
    </w:lvl>
    <w:lvl w:ilvl="4" w:tplc="6338D0CC">
      <w:start w:val="1"/>
      <w:numFmt w:val="lowerLetter"/>
      <w:lvlText w:val="%5."/>
      <w:lvlJc w:val="left"/>
      <w:pPr>
        <w:ind w:left="3060" w:hanging="360"/>
      </w:pPr>
    </w:lvl>
    <w:lvl w:ilvl="5" w:tplc="DC5EB846">
      <w:start w:val="1"/>
      <w:numFmt w:val="lowerRoman"/>
      <w:lvlText w:val="%6."/>
      <w:lvlJc w:val="right"/>
      <w:pPr>
        <w:ind w:left="3780" w:hanging="180"/>
      </w:pPr>
    </w:lvl>
    <w:lvl w:ilvl="6" w:tplc="DBC6FAEA">
      <w:start w:val="1"/>
      <w:numFmt w:val="decimal"/>
      <w:lvlText w:val="%7."/>
      <w:lvlJc w:val="left"/>
      <w:pPr>
        <w:ind w:left="4500" w:hanging="360"/>
      </w:pPr>
    </w:lvl>
    <w:lvl w:ilvl="7" w:tplc="A434E316">
      <w:start w:val="1"/>
      <w:numFmt w:val="lowerLetter"/>
      <w:lvlText w:val="%8."/>
      <w:lvlJc w:val="left"/>
      <w:pPr>
        <w:ind w:left="5220" w:hanging="360"/>
      </w:pPr>
    </w:lvl>
    <w:lvl w:ilvl="8" w:tplc="7E40BEF0">
      <w:start w:val="1"/>
      <w:numFmt w:val="lowerRoman"/>
      <w:lvlText w:val="%9."/>
      <w:lvlJc w:val="right"/>
      <w:pPr>
        <w:ind w:left="5940" w:hanging="180"/>
      </w:pPr>
    </w:lvl>
  </w:abstractNum>
  <w:abstractNum w:abstractNumId="9" w15:restartNumberingAfterBreak="0">
    <w:nsid w:val="51F0A12F"/>
    <w:multiLevelType w:val="hybridMultilevel"/>
    <w:tmpl w:val="920C512A"/>
    <w:lvl w:ilvl="0" w:tplc="292CF720">
      <w:start w:val="1"/>
      <w:numFmt w:val="decimal"/>
      <w:lvlText w:val="%1."/>
      <w:lvlJc w:val="left"/>
      <w:pPr>
        <w:ind w:left="900" w:hanging="360"/>
      </w:pPr>
      <w:rPr>
        <w:rFonts w:ascii="Arial" w:hAnsi="Arial" w:hint="default"/>
      </w:rPr>
    </w:lvl>
    <w:lvl w:ilvl="1" w:tplc="293E7728">
      <w:start w:val="1"/>
      <w:numFmt w:val="lowerLetter"/>
      <w:lvlText w:val="%2."/>
      <w:lvlJc w:val="left"/>
      <w:pPr>
        <w:ind w:left="1440" w:hanging="360"/>
      </w:pPr>
    </w:lvl>
    <w:lvl w:ilvl="2" w:tplc="9768FA14">
      <w:start w:val="1"/>
      <w:numFmt w:val="lowerRoman"/>
      <w:lvlText w:val="%3."/>
      <w:lvlJc w:val="right"/>
      <w:pPr>
        <w:ind w:left="2160" w:hanging="180"/>
      </w:pPr>
    </w:lvl>
    <w:lvl w:ilvl="3" w:tplc="934E7AC0">
      <w:start w:val="1"/>
      <w:numFmt w:val="decimal"/>
      <w:lvlText w:val="%4."/>
      <w:lvlJc w:val="left"/>
      <w:pPr>
        <w:ind w:left="2880" w:hanging="360"/>
      </w:pPr>
    </w:lvl>
    <w:lvl w:ilvl="4" w:tplc="BC5819FA">
      <w:start w:val="1"/>
      <w:numFmt w:val="lowerLetter"/>
      <w:lvlText w:val="%5."/>
      <w:lvlJc w:val="left"/>
      <w:pPr>
        <w:ind w:left="3600" w:hanging="360"/>
      </w:pPr>
    </w:lvl>
    <w:lvl w:ilvl="5" w:tplc="CD5261E4">
      <w:start w:val="1"/>
      <w:numFmt w:val="lowerRoman"/>
      <w:lvlText w:val="%6."/>
      <w:lvlJc w:val="right"/>
      <w:pPr>
        <w:ind w:left="4320" w:hanging="180"/>
      </w:pPr>
    </w:lvl>
    <w:lvl w:ilvl="6" w:tplc="BC824DB8">
      <w:start w:val="1"/>
      <w:numFmt w:val="decimal"/>
      <w:lvlText w:val="%7."/>
      <w:lvlJc w:val="left"/>
      <w:pPr>
        <w:ind w:left="5040" w:hanging="360"/>
      </w:pPr>
    </w:lvl>
    <w:lvl w:ilvl="7" w:tplc="DF601F14">
      <w:start w:val="1"/>
      <w:numFmt w:val="lowerLetter"/>
      <w:lvlText w:val="%8."/>
      <w:lvlJc w:val="left"/>
      <w:pPr>
        <w:ind w:left="5760" w:hanging="360"/>
      </w:pPr>
    </w:lvl>
    <w:lvl w:ilvl="8" w:tplc="AF28371C">
      <w:start w:val="1"/>
      <w:numFmt w:val="lowerRoman"/>
      <w:lvlText w:val="%9."/>
      <w:lvlJc w:val="right"/>
      <w:pPr>
        <w:ind w:left="6480" w:hanging="180"/>
      </w:pPr>
    </w:lvl>
  </w:abstractNum>
  <w:abstractNum w:abstractNumId="10" w15:restartNumberingAfterBreak="0">
    <w:nsid w:val="562D8C8B"/>
    <w:multiLevelType w:val="hybridMultilevel"/>
    <w:tmpl w:val="0480F8B4"/>
    <w:lvl w:ilvl="0" w:tplc="A6A2032C">
      <w:start w:val="8"/>
      <w:numFmt w:val="decimal"/>
      <w:lvlText w:val="%1."/>
      <w:lvlJc w:val="left"/>
      <w:pPr>
        <w:ind w:left="720" w:hanging="360"/>
      </w:pPr>
      <w:rPr>
        <w:rFonts w:ascii="Arial" w:hAnsi="Arial" w:hint="default"/>
      </w:rPr>
    </w:lvl>
    <w:lvl w:ilvl="1" w:tplc="1FEE5F28">
      <w:start w:val="1"/>
      <w:numFmt w:val="lowerLetter"/>
      <w:lvlText w:val="%2."/>
      <w:lvlJc w:val="left"/>
      <w:pPr>
        <w:ind w:left="1260" w:hanging="360"/>
      </w:pPr>
    </w:lvl>
    <w:lvl w:ilvl="2" w:tplc="DA300BB4">
      <w:start w:val="1"/>
      <w:numFmt w:val="lowerRoman"/>
      <w:lvlText w:val="%3."/>
      <w:lvlJc w:val="right"/>
      <w:pPr>
        <w:ind w:left="1980" w:hanging="180"/>
      </w:pPr>
    </w:lvl>
    <w:lvl w:ilvl="3" w:tplc="4D8C8A70">
      <w:start w:val="1"/>
      <w:numFmt w:val="decimal"/>
      <w:lvlText w:val="%4."/>
      <w:lvlJc w:val="left"/>
      <w:pPr>
        <w:ind w:left="2700" w:hanging="360"/>
      </w:pPr>
    </w:lvl>
    <w:lvl w:ilvl="4" w:tplc="4FACF218">
      <w:start w:val="1"/>
      <w:numFmt w:val="lowerLetter"/>
      <w:lvlText w:val="%5."/>
      <w:lvlJc w:val="left"/>
      <w:pPr>
        <w:ind w:left="3420" w:hanging="360"/>
      </w:pPr>
    </w:lvl>
    <w:lvl w:ilvl="5" w:tplc="127C8114">
      <w:start w:val="1"/>
      <w:numFmt w:val="lowerRoman"/>
      <w:lvlText w:val="%6."/>
      <w:lvlJc w:val="right"/>
      <w:pPr>
        <w:ind w:left="4140" w:hanging="180"/>
      </w:pPr>
    </w:lvl>
    <w:lvl w:ilvl="6" w:tplc="559E040C">
      <w:start w:val="1"/>
      <w:numFmt w:val="decimal"/>
      <w:lvlText w:val="%7."/>
      <w:lvlJc w:val="left"/>
      <w:pPr>
        <w:ind w:left="4860" w:hanging="360"/>
      </w:pPr>
    </w:lvl>
    <w:lvl w:ilvl="7" w:tplc="9842BA26">
      <w:start w:val="1"/>
      <w:numFmt w:val="lowerLetter"/>
      <w:lvlText w:val="%8."/>
      <w:lvlJc w:val="left"/>
      <w:pPr>
        <w:ind w:left="5580" w:hanging="360"/>
      </w:pPr>
    </w:lvl>
    <w:lvl w:ilvl="8" w:tplc="C5EC989A">
      <w:start w:val="1"/>
      <w:numFmt w:val="lowerRoman"/>
      <w:lvlText w:val="%9."/>
      <w:lvlJc w:val="right"/>
      <w:pPr>
        <w:ind w:left="6300" w:hanging="180"/>
      </w:pPr>
    </w:lvl>
  </w:abstractNum>
  <w:abstractNum w:abstractNumId="11" w15:restartNumberingAfterBreak="0">
    <w:nsid w:val="5D2BEDCD"/>
    <w:multiLevelType w:val="hybridMultilevel"/>
    <w:tmpl w:val="3236B4A6"/>
    <w:lvl w:ilvl="0" w:tplc="F29E5374">
      <w:start w:val="1"/>
      <w:numFmt w:val="decimal"/>
      <w:lvlText w:val="%1."/>
      <w:lvlJc w:val="left"/>
      <w:pPr>
        <w:ind w:left="720" w:hanging="360"/>
      </w:pPr>
    </w:lvl>
    <w:lvl w:ilvl="1" w:tplc="F5AC51D6">
      <w:start w:val="1"/>
      <w:numFmt w:val="lowerLetter"/>
      <w:lvlText w:val="%2."/>
      <w:lvlJc w:val="left"/>
      <w:pPr>
        <w:ind w:left="1440" w:hanging="360"/>
      </w:pPr>
    </w:lvl>
    <w:lvl w:ilvl="2" w:tplc="1188EC62">
      <w:start w:val="1"/>
      <w:numFmt w:val="lowerRoman"/>
      <w:lvlText w:val="%3."/>
      <w:lvlJc w:val="right"/>
      <w:pPr>
        <w:ind w:left="2160" w:hanging="180"/>
      </w:pPr>
    </w:lvl>
    <w:lvl w:ilvl="3" w:tplc="15581310">
      <w:start w:val="1"/>
      <w:numFmt w:val="decimal"/>
      <w:lvlText w:val="%4."/>
      <w:lvlJc w:val="left"/>
      <w:pPr>
        <w:ind w:left="2880" w:hanging="360"/>
      </w:pPr>
    </w:lvl>
    <w:lvl w:ilvl="4" w:tplc="C8C6CE30">
      <w:start w:val="1"/>
      <w:numFmt w:val="lowerLetter"/>
      <w:lvlText w:val="%5."/>
      <w:lvlJc w:val="left"/>
      <w:pPr>
        <w:ind w:left="3600" w:hanging="360"/>
      </w:pPr>
    </w:lvl>
    <w:lvl w:ilvl="5" w:tplc="9244C702">
      <w:start w:val="1"/>
      <w:numFmt w:val="lowerRoman"/>
      <w:lvlText w:val="%6."/>
      <w:lvlJc w:val="right"/>
      <w:pPr>
        <w:ind w:left="4320" w:hanging="180"/>
      </w:pPr>
    </w:lvl>
    <w:lvl w:ilvl="6" w:tplc="114CD708">
      <w:start w:val="1"/>
      <w:numFmt w:val="decimal"/>
      <w:lvlText w:val="%7."/>
      <w:lvlJc w:val="left"/>
      <w:pPr>
        <w:ind w:left="5040" w:hanging="360"/>
      </w:pPr>
    </w:lvl>
    <w:lvl w:ilvl="7" w:tplc="CAFA54E4">
      <w:start w:val="1"/>
      <w:numFmt w:val="lowerLetter"/>
      <w:lvlText w:val="%8."/>
      <w:lvlJc w:val="left"/>
      <w:pPr>
        <w:ind w:left="5760" w:hanging="360"/>
      </w:pPr>
    </w:lvl>
    <w:lvl w:ilvl="8" w:tplc="42C01B4E">
      <w:start w:val="1"/>
      <w:numFmt w:val="lowerRoman"/>
      <w:lvlText w:val="%9."/>
      <w:lvlJc w:val="right"/>
      <w:pPr>
        <w:ind w:left="6480" w:hanging="180"/>
      </w:pPr>
    </w:lvl>
  </w:abstractNum>
  <w:abstractNum w:abstractNumId="12" w15:restartNumberingAfterBreak="0">
    <w:nsid w:val="659719AE"/>
    <w:multiLevelType w:val="hybridMultilevel"/>
    <w:tmpl w:val="149C11EA"/>
    <w:lvl w:ilvl="0" w:tplc="AEBE55D0">
      <w:start w:val="34"/>
      <w:numFmt w:val="decimal"/>
      <w:lvlText w:val="%1."/>
      <w:lvlJc w:val="left"/>
      <w:pPr>
        <w:ind w:left="720" w:hanging="360"/>
      </w:pPr>
      <w:rPr>
        <w:rFonts w:ascii="Arial" w:hAnsi="Arial" w:hint="default"/>
      </w:rPr>
    </w:lvl>
    <w:lvl w:ilvl="1" w:tplc="5E2086BE">
      <w:start w:val="1"/>
      <w:numFmt w:val="lowerLetter"/>
      <w:lvlText w:val="%2."/>
      <w:lvlJc w:val="left"/>
      <w:pPr>
        <w:ind w:left="1260" w:hanging="360"/>
      </w:pPr>
    </w:lvl>
    <w:lvl w:ilvl="2" w:tplc="BB3CA49A">
      <w:start w:val="1"/>
      <w:numFmt w:val="lowerRoman"/>
      <w:lvlText w:val="%3."/>
      <w:lvlJc w:val="right"/>
      <w:pPr>
        <w:ind w:left="1980" w:hanging="180"/>
      </w:pPr>
    </w:lvl>
    <w:lvl w:ilvl="3" w:tplc="1616C370">
      <w:start w:val="1"/>
      <w:numFmt w:val="decimal"/>
      <w:lvlText w:val="%4."/>
      <w:lvlJc w:val="left"/>
      <w:pPr>
        <w:ind w:left="2700" w:hanging="360"/>
      </w:pPr>
    </w:lvl>
    <w:lvl w:ilvl="4" w:tplc="5504F738">
      <w:start w:val="1"/>
      <w:numFmt w:val="lowerLetter"/>
      <w:lvlText w:val="%5."/>
      <w:lvlJc w:val="left"/>
      <w:pPr>
        <w:ind w:left="3420" w:hanging="360"/>
      </w:pPr>
    </w:lvl>
    <w:lvl w:ilvl="5" w:tplc="A71A1EA4">
      <w:start w:val="1"/>
      <w:numFmt w:val="lowerRoman"/>
      <w:lvlText w:val="%6."/>
      <w:lvlJc w:val="right"/>
      <w:pPr>
        <w:ind w:left="4140" w:hanging="180"/>
      </w:pPr>
    </w:lvl>
    <w:lvl w:ilvl="6" w:tplc="BB7648EE">
      <w:start w:val="1"/>
      <w:numFmt w:val="decimal"/>
      <w:lvlText w:val="%7."/>
      <w:lvlJc w:val="left"/>
      <w:pPr>
        <w:ind w:left="4860" w:hanging="360"/>
      </w:pPr>
    </w:lvl>
    <w:lvl w:ilvl="7" w:tplc="2006DF80">
      <w:start w:val="1"/>
      <w:numFmt w:val="lowerLetter"/>
      <w:lvlText w:val="%8."/>
      <w:lvlJc w:val="left"/>
      <w:pPr>
        <w:ind w:left="5580" w:hanging="360"/>
      </w:pPr>
    </w:lvl>
    <w:lvl w:ilvl="8" w:tplc="DD187290">
      <w:start w:val="1"/>
      <w:numFmt w:val="lowerRoman"/>
      <w:lvlText w:val="%9."/>
      <w:lvlJc w:val="right"/>
      <w:pPr>
        <w:ind w:left="6300" w:hanging="180"/>
      </w:pPr>
    </w:lvl>
  </w:abstractNum>
  <w:abstractNum w:abstractNumId="13" w15:restartNumberingAfterBreak="0">
    <w:nsid w:val="69EEC3EE"/>
    <w:multiLevelType w:val="hybridMultilevel"/>
    <w:tmpl w:val="79C6452A"/>
    <w:lvl w:ilvl="0" w:tplc="A9CA1878">
      <w:start w:val="24"/>
      <w:numFmt w:val="decimal"/>
      <w:lvlText w:val="%1."/>
      <w:lvlJc w:val="left"/>
      <w:pPr>
        <w:ind w:left="720" w:hanging="360"/>
      </w:pPr>
      <w:rPr>
        <w:rFonts w:ascii="Arial" w:hAnsi="Arial" w:hint="default"/>
      </w:rPr>
    </w:lvl>
    <w:lvl w:ilvl="1" w:tplc="20D032CC">
      <w:start w:val="1"/>
      <w:numFmt w:val="lowerLetter"/>
      <w:lvlText w:val="%2."/>
      <w:lvlJc w:val="left"/>
      <w:pPr>
        <w:ind w:left="1260" w:hanging="360"/>
      </w:pPr>
    </w:lvl>
    <w:lvl w:ilvl="2" w:tplc="3DD20786">
      <w:start w:val="1"/>
      <w:numFmt w:val="lowerRoman"/>
      <w:lvlText w:val="%3."/>
      <w:lvlJc w:val="right"/>
      <w:pPr>
        <w:ind w:left="1980" w:hanging="180"/>
      </w:pPr>
    </w:lvl>
    <w:lvl w:ilvl="3" w:tplc="FA04FCE2">
      <w:start w:val="1"/>
      <w:numFmt w:val="decimal"/>
      <w:lvlText w:val="%4."/>
      <w:lvlJc w:val="left"/>
      <w:pPr>
        <w:ind w:left="2700" w:hanging="360"/>
      </w:pPr>
    </w:lvl>
    <w:lvl w:ilvl="4" w:tplc="01685268">
      <w:start w:val="1"/>
      <w:numFmt w:val="lowerLetter"/>
      <w:lvlText w:val="%5."/>
      <w:lvlJc w:val="left"/>
      <w:pPr>
        <w:ind w:left="3420" w:hanging="360"/>
      </w:pPr>
    </w:lvl>
    <w:lvl w:ilvl="5" w:tplc="B05EA3F6">
      <w:start w:val="1"/>
      <w:numFmt w:val="lowerRoman"/>
      <w:lvlText w:val="%6."/>
      <w:lvlJc w:val="right"/>
      <w:pPr>
        <w:ind w:left="4140" w:hanging="180"/>
      </w:pPr>
    </w:lvl>
    <w:lvl w:ilvl="6" w:tplc="89CE0CCA">
      <w:start w:val="1"/>
      <w:numFmt w:val="decimal"/>
      <w:lvlText w:val="%7."/>
      <w:lvlJc w:val="left"/>
      <w:pPr>
        <w:ind w:left="4860" w:hanging="360"/>
      </w:pPr>
    </w:lvl>
    <w:lvl w:ilvl="7" w:tplc="0D2CCC3E">
      <w:start w:val="1"/>
      <w:numFmt w:val="lowerLetter"/>
      <w:lvlText w:val="%8."/>
      <w:lvlJc w:val="left"/>
      <w:pPr>
        <w:ind w:left="5580" w:hanging="360"/>
      </w:pPr>
    </w:lvl>
    <w:lvl w:ilvl="8" w:tplc="1A9C56E2">
      <w:start w:val="1"/>
      <w:numFmt w:val="lowerRoman"/>
      <w:lvlText w:val="%9."/>
      <w:lvlJc w:val="right"/>
      <w:pPr>
        <w:ind w:left="6300" w:hanging="180"/>
      </w:pPr>
    </w:lvl>
  </w:abstractNum>
  <w:abstractNum w:abstractNumId="14" w15:restartNumberingAfterBreak="0">
    <w:nsid w:val="6B1785A7"/>
    <w:multiLevelType w:val="hybridMultilevel"/>
    <w:tmpl w:val="653E50D0"/>
    <w:lvl w:ilvl="0" w:tplc="B984ABBC">
      <w:start w:val="1"/>
      <w:numFmt w:val="decimal"/>
      <w:lvlText w:val="%1."/>
      <w:lvlJc w:val="left"/>
      <w:pPr>
        <w:ind w:left="720" w:hanging="360"/>
      </w:pPr>
    </w:lvl>
    <w:lvl w:ilvl="1" w:tplc="E4AC3E48">
      <w:start w:val="1"/>
      <w:numFmt w:val="lowerLetter"/>
      <w:lvlText w:val="%2."/>
      <w:lvlJc w:val="left"/>
      <w:pPr>
        <w:ind w:left="1440" w:hanging="360"/>
      </w:pPr>
    </w:lvl>
    <w:lvl w:ilvl="2" w:tplc="D6A0562C">
      <w:start w:val="1"/>
      <w:numFmt w:val="lowerRoman"/>
      <w:lvlText w:val="%3."/>
      <w:lvlJc w:val="right"/>
      <w:pPr>
        <w:ind w:left="2160" w:hanging="180"/>
      </w:pPr>
    </w:lvl>
    <w:lvl w:ilvl="3" w:tplc="429CAEF8">
      <w:start w:val="1"/>
      <w:numFmt w:val="decimal"/>
      <w:lvlText w:val="%4."/>
      <w:lvlJc w:val="left"/>
      <w:pPr>
        <w:ind w:left="2880" w:hanging="360"/>
      </w:pPr>
    </w:lvl>
    <w:lvl w:ilvl="4" w:tplc="CCD48D04">
      <w:start w:val="1"/>
      <w:numFmt w:val="lowerLetter"/>
      <w:lvlText w:val="%5."/>
      <w:lvlJc w:val="left"/>
      <w:pPr>
        <w:ind w:left="3600" w:hanging="360"/>
      </w:pPr>
    </w:lvl>
    <w:lvl w:ilvl="5" w:tplc="6E3A39A4">
      <w:start w:val="1"/>
      <w:numFmt w:val="lowerRoman"/>
      <w:lvlText w:val="%6."/>
      <w:lvlJc w:val="right"/>
      <w:pPr>
        <w:ind w:left="4320" w:hanging="180"/>
      </w:pPr>
    </w:lvl>
    <w:lvl w:ilvl="6" w:tplc="9FA2BBEA">
      <w:start w:val="1"/>
      <w:numFmt w:val="decimal"/>
      <w:lvlText w:val="%7."/>
      <w:lvlJc w:val="left"/>
      <w:pPr>
        <w:ind w:left="5040" w:hanging="360"/>
      </w:pPr>
    </w:lvl>
    <w:lvl w:ilvl="7" w:tplc="9BD4B04A">
      <w:start w:val="1"/>
      <w:numFmt w:val="lowerLetter"/>
      <w:lvlText w:val="%8."/>
      <w:lvlJc w:val="left"/>
      <w:pPr>
        <w:ind w:left="5760" w:hanging="360"/>
      </w:pPr>
    </w:lvl>
    <w:lvl w:ilvl="8" w:tplc="A4F6E74C">
      <w:start w:val="1"/>
      <w:numFmt w:val="lowerRoman"/>
      <w:lvlText w:val="%9."/>
      <w:lvlJc w:val="right"/>
      <w:pPr>
        <w:ind w:left="6480" w:hanging="180"/>
      </w:pPr>
    </w:lvl>
  </w:abstractNum>
  <w:abstractNum w:abstractNumId="15" w15:restartNumberingAfterBreak="0">
    <w:nsid w:val="6F1C14AD"/>
    <w:multiLevelType w:val="hybridMultilevel"/>
    <w:tmpl w:val="4B5A2428"/>
    <w:lvl w:ilvl="0" w:tplc="8E327CAE">
      <w:start w:val="25"/>
      <w:numFmt w:val="decimal"/>
      <w:lvlText w:val="%1."/>
      <w:lvlJc w:val="left"/>
      <w:pPr>
        <w:ind w:left="720" w:hanging="360"/>
      </w:pPr>
      <w:rPr>
        <w:rFonts w:ascii="Arial" w:hAnsi="Arial" w:hint="default"/>
      </w:rPr>
    </w:lvl>
    <w:lvl w:ilvl="1" w:tplc="8C46C1AC">
      <w:start w:val="1"/>
      <w:numFmt w:val="lowerLetter"/>
      <w:lvlText w:val="%2."/>
      <w:lvlJc w:val="left"/>
      <w:pPr>
        <w:ind w:left="1260" w:hanging="360"/>
      </w:pPr>
    </w:lvl>
    <w:lvl w:ilvl="2" w:tplc="81C00F10">
      <w:start w:val="1"/>
      <w:numFmt w:val="lowerRoman"/>
      <w:lvlText w:val="%3."/>
      <w:lvlJc w:val="right"/>
      <w:pPr>
        <w:ind w:left="1980" w:hanging="180"/>
      </w:pPr>
    </w:lvl>
    <w:lvl w:ilvl="3" w:tplc="44721A88">
      <w:start w:val="1"/>
      <w:numFmt w:val="decimal"/>
      <w:lvlText w:val="%4."/>
      <w:lvlJc w:val="left"/>
      <w:pPr>
        <w:ind w:left="2700" w:hanging="360"/>
      </w:pPr>
    </w:lvl>
    <w:lvl w:ilvl="4" w:tplc="1B8C5398">
      <w:start w:val="1"/>
      <w:numFmt w:val="lowerLetter"/>
      <w:lvlText w:val="%5."/>
      <w:lvlJc w:val="left"/>
      <w:pPr>
        <w:ind w:left="3420" w:hanging="360"/>
      </w:pPr>
    </w:lvl>
    <w:lvl w:ilvl="5" w:tplc="69FED60E">
      <w:start w:val="1"/>
      <w:numFmt w:val="lowerRoman"/>
      <w:lvlText w:val="%6."/>
      <w:lvlJc w:val="right"/>
      <w:pPr>
        <w:ind w:left="4140" w:hanging="180"/>
      </w:pPr>
    </w:lvl>
    <w:lvl w:ilvl="6" w:tplc="5CB89382">
      <w:start w:val="1"/>
      <w:numFmt w:val="decimal"/>
      <w:lvlText w:val="%7."/>
      <w:lvlJc w:val="left"/>
      <w:pPr>
        <w:ind w:left="4860" w:hanging="360"/>
      </w:pPr>
    </w:lvl>
    <w:lvl w:ilvl="7" w:tplc="59CEC56C">
      <w:start w:val="1"/>
      <w:numFmt w:val="lowerLetter"/>
      <w:lvlText w:val="%8."/>
      <w:lvlJc w:val="left"/>
      <w:pPr>
        <w:ind w:left="5580" w:hanging="360"/>
      </w:pPr>
    </w:lvl>
    <w:lvl w:ilvl="8" w:tplc="4BBA7DD8">
      <w:start w:val="1"/>
      <w:numFmt w:val="lowerRoman"/>
      <w:lvlText w:val="%9."/>
      <w:lvlJc w:val="right"/>
      <w:pPr>
        <w:ind w:left="6300" w:hanging="180"/>
      </w:pPr>
    </w:lvl>
  </w:abstractNum>
  <w:abstractNum w:abstractNumId="16" w15:restartNumberingAfterBreak="0">
    <w:nsid w:val="7A536070"/>
    <w:multiLevelType w:val="hybridMultilevel"/>
    <w:tmpl w:val="7ED8C19A"/>
    <w:lvl w:ilvl="0" w:tplc="E8B03F7C">
      <w:start w:val="45"/>
      <w:numFmt w:val="decimal"/>
      <w:lvlText w:val="%1."/>
      <w:lvlJc w:val="left"/>
      <w:pPr>
        <w:ind w:left="720" w:hanging="360"/>
      </w:pPr>
      <w:rPr>
        <w:rFonts w:ascii="Arial" w:hAnsi="Arial" w:hint="default"/>
      </w:rPr>
    </w:lvl>
    <w:lvl w:ilvl="1" w:tplc="F19C974C">
      <w:start w:val="1"/>
      <w:numFmt w:val="lowerLetter"/>
      <w:lvlText w:val="%2."/>
      <w:lvlJc w:val="left"/>
      <w:pPr>
        <w:ind w:left="1260" w:hanging="360"/>
      </w:pPr>
    </w:lvl>
    <w:lvl w:ilvl="2" w:tplc="D804914A">
      <w:start w:val="1"/>
      <w:numFmt w:val="lowerRoman"/>
      <w:lvlText w:val="%3."/>
      <w:lvlJc w:val="right"/>
      <w:pPr>
        <w:ind w:left="1980" w:hanging="180"/>
      </w:pPr>
    </w:lvl>
    <w:lvl w:ilvl="3" w:tplc="397A75E0">
      <w:start w:val="1"/>
      <w:numFmt w:val="decimal"/>
      <w:lvlText w:val="%4."/>
      <w:lvlJc w:val="left"/>
      <w:pPr>
        <w:ind w:left="2700" w:hanging="360"/>
      </w:pPr>
    </w:lvl>
    <w:lvl w:ilvl="4" w:tplc="B804ED8E">
      <w:start w:val="1"/>
      <w:numFmt w:val="lowerLetter"/>
      <w:lvlText w:val="%5."/>
      <w:lvlJc w:val="left"/>
      <w:pPr>
        <w:ind w:left="3420" w:hanging="360"/>
      </w:pPr>
    </w:lvl>
    <w:lvl w:ilvl="5" w:tplc="F6CEDEEA">
      <w:start w:val="1"/>
      <w:numFmt w:val="lowerRoman"/>
      <w:lvlText w:val="%6."/>
      <w:lvlJc w:val="right"/>
      <w:pPr>
        <w:ind w:left="4140" w:hanging="180"/>
      </w:pPr>
    </w:lvl>
    <w:lvl w:ilvl="6" w:tplc="4E0EEE24">
      <w:start w:val="1"/>
      <w:numFmt w:val="decimal"/>
      <w:lvlText w:val="%7."/>
      <w:lvlJc w:val="left"/>
      <w:pPr>
        <w:ind w:left="4860" w:hanging="360"/>
      </w:pPr>
    </w:lvl>
    <w:lvl w:ilvl="7" w:tplc="65445B14">
      <w:start w:val="1"/>
      <w:numFmt w:val="lowerLetter"/>
      <w:lvlText w:val="%8."/>
      <w:lvlJc w:val="left"/>
      <w:pPr>
        <w:ind w:left="5580" w:hanging="360"/>
      </w:pPr>
    </w:lvl>
    <w:lvl w:ilvl="8" w:tplc="AAF85C6E">
      <w:start w:val="1"/>
      <w:numFmt w:val="lowerRoman"/>
      <w:lvlText w:val="%9."/>
      <w:lvlJc w:val="right"/>
      <w:pPr>
        <w:ind w:left="6300" w:hanging="180"/>
      </w:pPr>
    </w:lvl>
  </w:abstractNum>
  <w:num w:numId="1" w16cid:durableId="1361466591">
    <w:abstractNumId w:val="11"/>
  </w:num>
  <w:num w:numId="2" w16cid:durableId="1173495021">
    <w:abstractNumId w:val="0"/>
  </w:num>
  <w:num w:numId="3" w16cid:durableId="328559446">
    <w:abstractNumId w:val="14"/>
  </w:num>
  <w:num w:numId="4" w16cid:durableId="423460388">
    <w:abstractNumId w:val="4"/>
  </w:num>
  <w:num w:numId="5" w16cid:durableId="525097043">
    <w:abstractNumId w:val="3"/>
  </w:num>
  <w:num w:numId="6" w16cid:durableId="712270012">
    <w:abstractNumId w:val="5"/>
  </w:num>
  <w:num w:numId="7" w16cid:durableId="1797216217">
    <w:abstractNumId w:val="15"/>
  </w:num>
  <w:num w:numId="8" w16cid:durableId="103964689">
    <w:abstractNumId w:val="8"/>
  </w:num>
  <w:num w:numId="9" w16cid:durableId="1246260549">
    <w:abstractNumId w:val="13"/>
  </w:num>
  <w:num w:numId="10" w16cid:durableId="2138449431">
    <w:abstractNumId w:val="16"/>
  </w:num>
  <w:num w:numId="11" w16cid:durableId="1100955819">
    <w:abstractNumId w:val="12"/>
  </w:num>
  <w:num w:numId="12" w16cid:durableId="468285337">
    <w:abstractNumId w:val="10"/>
  </w:num>
  <w:num w:numId="13" w16cid:durableId="971598955">
    <w:abstractNumId w:val="6"/>
  </w:num>
  <w:num w:numId="14" w16cid:durableId="128518146">
    <w:abstractNumId w:val="7"/>
  </w:num>
  <w:num w:numId="15" w16cid:durableId="577441091">
    <w:abstractNumId w:val="2"/>
  </w:num>
  <w:num w:numId="16" w16cid:durableId="1051491634">
    <w:abstractNumId w:val="9"/>
  </w:num>
  <w:num w:numId="17" w16cid:durableId="214403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FA"/>
    <w:rsid w:val="000E6417"/>
    <w:rsid w:val="000F2601"/>
    <w:rsid w:val="00150C84"/>
    <w:rsid w:val="00204303"/>
    <w:rsid w:val="00470CF9"/>
    <w:rsid w:val="00572718"/>
    <w:rsid w:val="0061783A"/>
    <w:rsid w:val="006271E5"/>
    <w:rsid w:val="0063529E"/>
    <w:rsid w:val="00644530"/>
    <w:rsid w:val="00683C1C"/>
    <w:rsid w:val="007A36E2"/>
    <w:rsid w:val="00945C08"/>
    <w:rsid w:val="009571DC"/>
    <w:rsid w:val="009C1AFA"/>
    <w:rsid w:val="009C614A"/>
    <w:rsid w:val="00DB2CF2"/>
    <w:rsid w:val="00E72699"/>
    <w:rsid w:val="00FB081E"/>
    <w:rsid w:val="00FE0636"/>
    <w:rsid w:val="024B6983"/>
    <w:rsid w:val="028F07FA"/>
    <w:rsid w:val="03A8CCF6"/>
    <w:rsid w:val="041C122A"/>
    <w:rsid w:val="06084593"/>
    <w:rsid w:val="07CDE74A"/>
    <w:rsid w:val="0A8E9C88"/>
    <w:rsid w:val="0B4AE9E6"/>
    <w:rsid w:val="0CCBF71E"/>
    <w:rsid w:val="0D0E52D1"/>
    <w:rsid w:val="1150A581"/>
    <w:rsid w:val="127955A4"/>
    <w:rsid w:val="1309371E"/>
    <w:rsid w:val="13FA7BBB"/>
    <w:rsid w:val="144FA1D5"/>
    <w:rsid w:val="14DD494B"/>
    <w:rsid w:val="1734531E"/>
    <w:rsid w:val="17C917A5"/>
    <w:rsid w:val="1875B1D4"/>
    <w:rsid w:val="1875D2AF"/>
    <w:rsid w:val="18FA313D"/>
    <w:rsid w:val="1A5D3728"/>
    <w:rsid w:val="1B283C3C"/>
    <w:rsid w:val="1B735800"/>
    <w:rsid w:val="1BEEC93C"/>
    <w:rsid w:val="1BFCBAFA"/>
    <w:rsid w:val="1D85A30C"/>
    <w:rsid w:val="1F090BA1"/>
    <w:rsid w:val="1F846D86"/>
    <w:rsid w:val="22084B50"/>
    <w:rsid w:val="23B6F8C6"/>
    <w:rsid w:val="283303F6"/>
    <w:rsid w:val="29815BE8"/>
    <w:rsid w:val="29B9B660"/>
    <w:rsid w:val="2AF33939"/>
    <w:rsid w:val="2BB48885"/>
    <w:rsid w:val="2C956774"/>
    <w:rsid w:val="2E67B970"/>
    <w:rsid w:val="2E7D1E1E"/>
    <w:rsid w:val="30E36979"/>
    <w:rsid w:val="330DB87D"/>
    <w:rsid w:val="335BBD30"/>
    <w:rsid w:val="337177DE"/>
    <w:rsid w:val="33A9B9E6"/>
    <w:rsid w:val="343A2314"/>
    <w:rsid w:val="349C6E22"/>
    <w:rsid w:val="35575E0D"/>
    <w:rsid w:val="369204A8"/>
    <w:rsid w:val="36AF6FE5"/>
    <w:rsid w:val="37234C8C"/>
    <w:rsid w:val="381543B0"/>
    <w:rsid w:val="38AA7CB3"/>
    <w:rsid w:val="38D8BEA1"/>
    <w:rsid w:val="3A2F80ED"/>
    <w:rsid w:val="3BDA2DFF"/>
    <w:rsid w:val="3C142E4B"/>
    <w:rsid w:val="3F1F9765"/>
    <w:rsid w:val="41D08E62"/>
    <w:rsid w:val="4290457A"/>
    <w:rsid w:val="4483ABB2"/>
    <w:rsid w:val="4790E683"/>
    <w:rsid w:val="4DC9A52C"/>
    <w:rsid w:val="4E16B68E"/>
    <w:rsid w:val="4E46D7B8"/>
    <w:rsid w:val="4E5EDD35"/>
    <w:rsid w:val="5065F9F2"/>
    <w:rsid w:val="5170DFB9"/>
    <w:rsid w:val="5344FB65"/>
    <w:rsid w:val="5388505B"/>
    <w:rsid w:val="538E16EE"/>
    <w:rsid w:val="5777FB3E"/>
    <w:rsid w:val="5A95953A"/>
    <w:rsid w:val="5AC4C81C"/>
    <w:rsid w:val="5B863811"/>
    <w:rsid w:val="5C4623D2"/>
    <w:rsid w:val="5CE2F753"/>
    <w:rsid w:val="5FF55E31"/>
    <w:rsid w:val="610F87B0"/>
    <w:rsid w:val="615E87C2"/>
    <w:rsid w:val="6716A45C"/>
    <w:rsid w:val="6C6E40FA"/>
    <w:rsid w:val="6C8D4CC2"/>
    <w:rsid w:val="6D3FDA6D"/>
    <w:rsid w:val="700FEF2E"/>
    <w:rsid w:val="70AB70B8"/>
    <w:rsid w:val="70B59BD7"/>
    <w:rsid w:val="7140F715"/>
    <w:rsid w:val="7281F381"/>
    <w:rsid w:val="76386717"/>
    <w:rsid w:val="77F5373D"/>
    <w:rsid w:val="7B31EA25"/>
    <w:rsid w:val="7C04D7BF"/>
    <w:rsid w:val="7C363D54"/>
    <w:rsid w:val="7EAB6E08"/>
    <w:rsid w:val="7ED18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3E61"/>
  <w15:chartTrackingRefBased/>
  <w15:docId w15:val="{AAD1580D-DEBB-4EF7-815D-FC05AD1E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AFA"/>
  </w:style>
  <w:style w:type="paragraph" w:styleId="Heading1">
    <w:name w:val="heading 1"/>
    <w:basedOn w:val="Normal"/>
    <w:next w:val="Normal"/>
    <w:link w:val="Heading1Char"/>
    <w:uiPriority w:val="9"/>
    <w:qFormat/>
    <w:rsid w:val="009C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FA"/>
    <w:rPr>
      <w:rFonts w:eastAsiaTheme="majorEastAsia" w:cstheme="majorBidi"/>
      <w:color w:val="272727" w:themeColor="text1" w:themeTint="D8"/>
    </w:rPr>
  </w:style>
  <w:style w:type="paragraph" w:styleId="Title">
    <w:name w:val="Title"/>
    <w:basedOn w:val="Normal"/>
    <w:next w:val="Normal"/>
    <w:link w:val="TitleChar"/>
    <w:uiPriority w:val="10"/>
    <w:qFormat/>
    <w:rsid w:val="009C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FA"/>
    <w:pPr>
      <w:spacing w:before="160"/>
      <w:jc w:val="center"/>
    </w:pPr>
    <w:rPr>
      <w:i/>
      <w:iCs/>
      <w:color w:val="404040" w:themeColor="text1" w:themeTint="BF"/>
    </w:rPr>
  </w:style>
  <w:style w:type="character" w:customStyle="1" w:styleId="QuoteChar">
    <w:name w:val="Quote Char"/>
    <w:basedOn w:val="DefaultParagraphFont"/>
    <w:link w:val="Quote"/>
    <w:uiPriority w:val="29"/>
    <w:rsid w:val="009C1AFA"/>
    <w:rPr>
      <w:i/>
      <w:iCs/>
      <w:color w:val="404040" w:themeColor="text1" w:themeTint="BF"/>
    </w:rPr>
  </w:style>
  <w:style w:type="paragraph" w:styleId="ListParagraph">
    <w:name w:val="List Paragraph"/>
    <w:basedOn w:val="Normal"/>
    <w:uiPriority w:val="34"/>
    <w:qFormat/>
    <w:rsid w:val="009C1AFA"/>
    <w:pPr>
      <w:ind w:left="720"/>
      <w:contextualSpacing/>
    </w:pPr>
  </w:style>
  <w:style w:type="character" w:styleId="IntenseEmphasis">
    <w:name w:val="Intense Emphasis"/>
    <w:basedOn w:val="DefaultParagraphFont"/>
    <w:uiPriority w:val="21"/>
    <w:qFormat/>
    <w:rsid w:val="009C1AFA"/>
    <w:rPr>
      <w:i/>
      <w:iCs/>
      <w:color w:val="0F4761" w:themeColor="accent1" w:themeShade="BF"/>
    </w:rPr>
  </w:style>
  <w:style w:type="paragraph" w:styleId="IntenseQuote">
    <w:name w:val="Intense Quote"/>
    <w:basedOn w:val="Normal"/>
    <w:next w:val="Normal"/>
    <w:link w:val="IntenseQuoteChar"/>
    <w:uiPriority w:val="30"/>
    <w:qFormat/>
    <w:rsid w:val="009C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FA"/>
    <w:rPr>
      <w:i/>
      <w:iCs/>
      <w:color w:val="0F4761" w:themeColor="accent1" w:themeShade="BF"/>
    </w:rPr>
  </w:style>
  <w:style w:type="character" w:styleId="IntenseReference">
    <w:name w:val="Intense Reference"/>
    <w:basedOn w:val="DefaultParagraphFont"/>
    <w:uiPriority w:val="32"/>
    <w:qFormat/>
    <w:rsid w:val="009C1AFA"/>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0880e5-5e2f-456c-b3e7-184309e6d3e9">
      <Terms xmlns="http://schemas.microsoft.com/office/infopath/2007/PartnerControls"/>
    </lcf76f155ced4ddcb4097134ff3c332f>
    <TaxCatchAll xmlns="8191c74c-8743-4f32-ad4a-190104c9a1e2" xsi:nil="true"/>
    <Comments xmlns="2b0880e5-5e2f-456c-b3e7-184309e6d3e9" xsi:nil="true"/>
    <kwizcomcontrollerfield xmlns="2b0880e5-5e2f-456c-b3e7-184309e6d3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812CCE2D5D554C8EED89C78C90F70E" ma:contentTypeVersion="18" ma:contentTypeDescription="Create a new document." ma:contentTypeScope="" ma:versionID="a2472ad448cf10c29b5a5b072ead994b">
  <xsd:schema xmlns:xsd="http://www.w3.org/2001/XMLSchema" xmlns:xs="http://www.w3.org/2001/XMLSchema" xmlns:p="http://schemas.microsoft.com/office/2006/metadata/properties" xmlns:ns2="2b0880e5-5e2f-456c-b3e7-184309e6d3e9" xmlns:ns3="8191c74c-8743-4f32-ad4a-190104c9a1e2" targetNamespace="http://schemas.microsoft.com/office/2006/metadata/properties" ma:root="true" ma:fieldsID="1464d51ad7f43bdd84781dc3c1d2a089" ns2:_="" ns3:_="">
    <xsd:import namespace="2b0880e5-5e2f-456c-b3e7-184309e6d3e9"/>
    <xsd:import namespace="8191c74c-8743-4f32-ad4a-190104c9a1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element ref="ns2:Comments" minOccurs="0"/>
                <xsd:element ref="ns2:kwizcomcontroller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80e5-5e2f-456c-b3e7-184309e6d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s" ma:index="24" nillable="true" ma:displayName="Comments" ma:description="Special Info regarding the document" ma:format="Dropdown" ma:internalName="Comments">
      <xsd:simpleType>
        <xsd:restriction base="dms:Note">
          <xsd:maxLength value="255"/>
        </xsd:restriction>
      </xsd:simpleType>
    </xsd:element>
    <xsd:element name="kwizcomcontrollerfield" ma:index="25" nillable="true" ma:displayName="kwizcomcontrollerfield" ma:internalName="kwizcomcontrollerfiel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1c74c-8743-4f32-ad4a-190104c9a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6396422-93d6-4694-8bb8-08315acb540b}" ma:internalName="TaxCatchAll" ma:showField="CatchAllData" ma:web="8191c74c-8743-4f32-ad4a-190104c9a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81349-958F-44E9-9450-16BD7712FC8C}">
  <ds:schemaRefs>
    <ds:schemaRef ds:uri="http://schemas.microsoft.com/office/2006/metadata/properties"/>
    <ds:schemaRef ds:uri="http://schemas.microsoft.com/office/infopath/2007/PartnerControls"/>
    <ds:schemaRef ds:uri="2b0880e5-5e2f-456c-b3e7-184309e6d3e9"/>
    <ds:schemaRef ds:uri="8191c74c-8743-4f32-ad4a-190104c9a1e2"/>
  </ds:schemaRefs>
</ds:datastoreItem>
</file>

<file path=customXml/itemProps2.xml><?xml version="1.0" encoding="utf-8"?>
<ds:datastoreItem xmlns:ds="http://schemas.openxmlformats.org/officeDocument/2006/customXml" ds:itemID="{57324AD4-8810-4EB5-B708-2950EB2AD9FE}">
  <ds:schemaRefs>
    <ds:schemaRef ds:uri="http://schemas.microsoft.com/sharepoint/v3/contenttype/forms"/>
  </ds:schemaRefs>
</ds:datastoreItem>
</file>

<file path=customXml/itemProps3.xml><?xml version="1.0" encoding="utf-8"?>
<ds:datastoreItem xmlns:ds="http://schemas.openxmlformats.org/officeDocument/2006/customXml" ds:itemID="{3EB1ABD3-1977-4BBF-A9A4-BEBAB80EC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80e5-5e2f-456c-b3e7-184309e6d3e9"/>
    <ds:schemaRef ds:uri="8191c74c-8743-4f32-ad4a-190104c9a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3338</Words>
  <Characters>19031</Characters>
  <Application>Microsoft Office Word</Application>
  <DocSecurity>0</DocSecurity>
  <Lines>158</Lines>
  <Paragraphs>44</Paragraphs>
  <ScaleCrop>false</ScaleCrop>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 Aditya</dc:creator>
  <cp:keywords/>
  <dc:description/>
  <cp:lastModifiedBy>Bhatt, Aditya</cp:lastModifiedBy>
  <cp:revision>4</cp:revision>
  <dcterms:created xsi:type="dcterms:W3CDTF">2026-07-11T00:52:00Z</dcterms:created>
  <dcterms:modified xsi:type="dcterms:W3CDTF">2026-07-18T00:48:00Z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0x01010056812CCE2D5D554C8EED89C78C90F70E</vt:lpwstr>
  </property>
  <property fmtid="{D5CDD505-2E9C-101B-9397-08002B2CF9AE}" pid="3" name="MediaServiceImageTags">
    <vt:lpwstr/>
  </property>
</Properties>
</file>