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5B4EE" w14:textId="77777777" w:rsidR="00B9683B" w:rsidRDefault="00B9683B"/>
    <w:p w14:paraId="0792C8AC" w14:textId="1806D872" w:rsidR="00F378BB" w:rsidRDefault="00F378BB">
      <w:pPr>
        <w:rPr>
          <w:rFonts w:ascii="Arial" w:hAnsi="Arial" w:cs="Arial"/>
          <w:color w:val="0B0C0C"/>
          <w:sz w:val="29"/>
          <w:szCs w:val="29"/>
          <w:shd w:val="clear" w:color="auto" w:fill="FFFFFF"/>
        </w:rPr>
      </w:pPr>
      <w:r>
        <w:rPr>
          <w:rFonts w:ascii="Arial" w:hAnsi="Arial" w:cs="Arial"/>
          <w:color w:val="0B0C0C"/>
          <w:sz w:val="29"/>
          <w:szCs w:val="29"/>
          <w:shd w:val="clear" w:color="auto" w:fill="FFFFFF"/>
        </w:rPr>
        <w:t>Estimated number of d</w:t>
      </w:r>
      <w:r>
        <w:rPr>
          <w:rFonts w:ascii="Arial" w:hAnsi="Arial" w:cs="Arial"/>
          <w:color w:val="0B0C0C"/>
          <w:sz w:val="29"/>
          <w:szCs w:val="29"/>
          <w:shd w:val="clear" w:color="auto" w:fill="FFFFFF"/>
        </w:rPr>
        <w:t>wellings in England</w:t>
      </w:r>
      <w:r>
        <w:rPr>
          <w:rFonts w:ascii="Arial" w:hAnsi="Arial" w:cs="Arial"/>
          <w:color w:val="0B0C0C"/>
          <w:sz w:val="29"/>
          <w:szCs w:val="29"/>
          <w:shd w:val="clear" w:color="auto" w:fill="FFFFFF"/>
        </w:rPr>
        <w:t xml:space="preserve">: </w:t>
      </w:r>
      <w:r>
        <w:rPr>
          <w:rStyle w:val="Emphasis"/>
          <w:rFonts w:ascii="Arial" w:hAnsi="Arial" w:cs="Arial"/>
          <w:i w:val="0"/>
          <w:iCs w:val="0"/>
          <w:color w:val="0B0C0C"/>
          <w:sz w:val="29"/>
          <w:szCs w:val="29"/>
          <w:shd w:val="clear" w:color="auto" w:fill="FFFFFF"/>
        </w:rPr>
        <w:t>25.4 million</w:t>
      </w:r>
      <w:r>
        <w:rPr>
          <w:rFonts w:ascii="Arial" w:hAnsi="Arial" w:cs="Arial"/>
          <w:color w:val="0B0C0C"/>
          <w:sz w:val="29"/>
          <w:szCs w:val="29"/>
          <w:shd w:val="clear" w:color="auto" w:fill="FFFFFF"/>
        </w:rPr>
        <w:t xml:space="preserve"> </w:t>
      </w:r>
      <w:r w:rsidRPr="00F378BB">
        <w:rPr>
          <w:rFonts w:ascii="Arial" w:hAnsi="Arial" w:cs="Arial"/>
          <w:color w:val="0B0C0C"/>
          <w:sz w:val="22"/>
          <w:szCs w:val="22"/>
          <w:shd w:val="clear" w:color="auto" w:fill="FFFFFF"/>
        </w:rPr>
        <w:t>(</w:t>
      </w:r>
      <w:r w:rsidRPr="00F378BB">
        <w:rPr>
          <w:rFonts w:ascii="Arial" w:hAnsi="Arial" w:cs="Arial"/>
          <w:color w:val="0B0C0C"/>
          <w:sz w:val="22"/>
          <w:szCs w:val="22"/>
          <w:shd w:val="clear" w:color="auto" w:fill="FFFFFF"/>
        </w:rPr>
        <w:t>31 March 2023</w:t>
      </w:r>
      <w:r w:rsidRPr="00F378BB">
        <w:rPr>
          <w:rFonts w:ascii="Arial" w:hAnsi="Arial" w:cs="Arial"/>
          <w:color w:val="0B0C0C"/>
          <w:sz w:val="22"/>
          <w:szCs w:val="22"/>
          <w:shd w:val="clear" w:color="auto" w:fill="FFFFFF"/>
        </w:rPr>
        <w:t>)</w:t>
      </w:r>
      <w:r w:rsidR="00433A39">
        <w:rPr>
          <w:rFonts w:ascii="Arial" w:hAnsi="Arial" w:cs="Arial"/>
          <w:color w:val="0B0C0C"/>
          <w:sz w:val="22"/>
          <w:szCs w:val="22"/>
          <w:shd w:val="clear" w:color="auto" w:fill="FFFFFF"/>
        </w:rPr>
        <w:t>.</w:t>
      </w:r>
    </w:p>
    <w:p w14:paraId="6C71F91D" w14:textId="77777777" w:rsidR="00F378BB" w:rsidRDefault="00F378BB">
      <w:pPr>
        <w:rPr>
          <w:rFonts w:ascii="Arial" w:hAnsi="Arial" w:cs="Arial"/>
          <w:color w:val="0B0C0C"/>
          <w:sz w:val="29"/>
          <w:szCs w:val="29"/>
          <w:shd w:val="clear" w:color="auto" w:fill="FFFFFF"/>
        </w:rPr>
      </w:pPr>
    </w:p>
    <w:p w14:paraId="3339C8A7" w14:textId="16CED67B" w:rsidR="00F378BB" w:rsidRDefault="00F378BB">
      <w:pPr>
        <w:rPr>
          <w:rFonts w:ascii="Arial" w:hAnsi="Arial" w:cs="Arial"/>
          <w:color w:val="0B0C0C"/>
          <w:sz w:val="29"/>
          <w:szCs w:val="29"/>
          <w:shd w:val="clear" w:color="auto" w:fill="FFFFFF"/>
        </w:rPr>
      </w:pPr>
      <w:r>
        <w:rPr>
          <w:rFonts w:ascii="Arial" w:hAnsi="Arial" w:cs="Arial"/>
          <w:color w:val="0B0C0C"/>
          <w:sz w:val="29"/>
          <w:szCs w:val="29"/>
          <w:shd w:val="clear" w:color="auto" w:fill="FFFFFF"/>
        </w:rPr>
        <w:t>Estimated population of England: 56.5 million</w:t>
      </w:r>
      <w:r w:rsidR="00433A39">
        <w:rPr>
          <w:rFonts w:ascii="Arial" w:hAnsi="Arial" w:cs="Arial"/>
          <w:color w:val="0B0C0C"/>
          <w:sz w:val="29"/>
          <w:szCs w:val="29"/>
          <w:shd w:val="clear" w:color="auto" w:fill="FFFFFF"/>
        </w:rPr>
        <w:t>.</w:t>
      </w:r>
    </w:p>
    <w:p w14:paraId="3363F7F5" w14:textId="77777777" w:rsidR="00F378BB" w:rsidRDefault="00F378BB">
      <w:pPr>
        <w:rPr>
          <w:rFonts w:ascii="Arial" w:hAnsi="Arial" w:cs="Arial"/>
          <w:color w:val="0B0C0C"/>
          <w:sz w:val="29"/>
          <w:szCs w:val="29"/>
          <w:shd w:val="clear" w:color="auto" w:fill="FFFFFF"/>
        </w:rPr>
      </w:pPr>
    </w:p>
    <w:p w14:paraId="600DA182" w14:textId="220ABFBC" w:rsidR="00433A39" w:rsidRPr="00433A39" w:rsidRDefault="00F378BB">
      <w:pPr>
        <w:rPr>
          <w:rFonts w:ascii="Arial" w:hAnsi="Arial" w:cs="Arial"/>
          <w:b/>
          <w:bCs/>
          <w:color w:val="0B0C0C"/>
          <w:sz w:val="29"/>
          <w:szCs w:val="29"/>
          <w:u w:val="single"/>
          <w:shd w:val="clear" w:color="auto" w:fill="FFFFFF"/>
        </w:rPr>
      </w:pPr>
      <w:r w:rsidRPr="00433A39">
        <w:rPr>
          <w:rFonts w:ascii="Arial" w:hAnsi="Arial" w:cs="Arial"/>
          <w:b/>
          <w:bCs/>
          <w:color w:val="0B0C0C"/>
          <w:sz w:val="29"/>
          <w:szCs w:val="29"/>
          <w:u w:val="single"/>
          <w:shd w:val="clear" w:color="auto" w:fill="FFFFFF"/>
        </w:rPr>
        <w:t xml:space="preserve">Number of dwellings per 1000 people in England is </w:t>
      </w:r>
      <w:r w:rsidR="00433A39" w:rsidRPr="00433A39">
        <w:rPr>
          <w:rFonts w:ascii="Arial" w:hAnsi="Arial" w:cs="Arial"/>
          <w:b/>
          <w:bCs/>
          <w:color w:val="0B0C0C"/>
          <w:sz w:val="29"/>
          <w:szCs w:val="29"/>
          <w:u w:val="single"/>
          <w:shd w:val="clear" w:color="auto" w:fill="FFFFFF"/>
        </w:rPr>
        <w:t>450.</w:t>
      </w:r>
    </w:p>
    <w:p w14:paraId="367361E0" w14:textId="77777777" w:rsidR="00433A39" w:rsidRDefault="00433A39">
      <w:pPr>
        <w:rPr>
          <w:rFonts w:ascii="Arial" w:hAnsi="Arial" w:cs="Arial"/>
          <w:color w:val="0B0C0C"/>
          <w:sz w:val="29"/>
          <w:szCs w:val="29"/>
          <w:shd w:val="clear" w:color="auto" w:fill="FFFFFF"/>
        </w:rPr>
      </w:pPr>
    </w:p>
    <w:p w14:paraId="2CB1DB89" w14:textId="06029515" w:rsidR="00433A39" w:rsidRDefault="00433A39">
      <w:pPr>
        <w:rPr>
          <w:rFonts w:ascii="Arial" w:hAnsi="Arial" w:cs="Arial"/>
          <w:color w:val="0B0C0C"/>
          <w:sz w:val="29"/>
          <w:szCs w:val="29"/>
          <w:shd w:val="clear" w:color="auto" w:fill="FFFFFF"/>
        </w:rPr>
      </w:pPr>
      <w:r>
        <w:rPr>
          <w:rFonts w:ascii="Arial" w:hAnsi="Arial" w:cs="Arial"/>
          <w:color w:val="0B0C0C"/>
          <w:sz w:val="29"/>
          <w:szCs w:val="29"/>
          <w:shd w:val="clear" w:color="auto" w:fill="FFFFFF"/>
        </w:rPr>
        <w:t>The number of vacant properties is estimated at 700,000</w:t>
      </w:r>
    </w:p>
    <w:p w14:paraId="139260AF" w14:textId="77777777" w:rsidR="00433A39" w:rsidRDefault="00433A39">
      <w:pPr>
        <w:rPr>
          <w:rFonts w:ascii="Arial" w:hAnsi="Arial" w:cs="Arial"/>
          <w:color w:val="0B0C0C"/>
          <w:sz w:val="29"/>
          <w:szCs w:val="29"/>
          <w:shd w:val="clear" w:color="auto" w:fill="FFFFFF"/>
        </w:rPr>
      </w:pPr>
    </w:p>
    <w:p w14:paraId="4FC38B29" w14:textId="75184F58" w:rsidR="00433A39" w:rsidRDefault="00433A39">
      <w:pPr>
        <w:rPr>
          <w:rFonts w:ascii="Arial" w:hAnsi="Arial" w:cs="Arial"/>
          <w:color w:val="0B0C0C"/>
          <w:sz w:val="29"/>
          <w:szCs w:val="29"/>
          <w:shd w:val="clear" w:color="auto" w:fill="FFFFFF"/>
        </w:rPr>
      </w:pPr>
    </w:p>
    <w:p w14:paraId="10C70C3A" w14:textId="77777777" w:rsidR="00F378BB" w:rsidRDefault="00F378BB"/>
    <w:p w14:paraId="73FB3753" w14:textId="5B00172C" w:rsidR="00433A39" w:rsidRDefault="00433A39"/>
    <w:p w14:paraId="3F4FA144" w14:textId="77777777" w:rsidR="00F378BB" w:rsidRDefault="00F378BB"/>
    <w:p w14:paraId="21D8A3FE" w14:textId="2BF58BB9" w:rsidR="00014ACE" w:rsidRDefault="008A298D">
      <w:hyperlink r:id="rId6" w:history="1">
        <w:r w:rsidRPr="008A298D">
          <w:rPr>
            <w:rStyle w:val="Hyperlink"/>
          </w:rPr>
          <w:t>https://www.gov.uk/government/statistics/dwelling-stock-estimates-in-england-2023/dwelling-stock-estimates-england-31-march-2023</w:t>
        </w:r>
      </w:hyperlink>
    </w:p>
    <w:p w14:paraId="7CCE01A2" w14:textId="77777777" w:rsidR="008A298D" w:rsidRDefault="008A298D"/>
    <w:p w14:paraId="551AEDC3" w14:textId="77777777" w:rsidR="008A298D" w:rsidRDefault="008A298D"/>
    <w:p w14:paraId="3E2A2488" w14:textId="6DCFE305" w:rsidR="008A298D" w:rsidRDefault="00286E71">
      <w:hyperlink r:id="rId7" w:history="1">
        <w:r w:rsidRPr="00286E71">
          <w:rPr>
            <w:rStyle w:val="Hyperlink"/>
          </w:rPr>
          <w:t>https://www.ons.gov.uk/peoplepopulationandcommunity/housing/articles/ukhousebuildingdata/januarytomarch2023</w:t>
        </w:r>
      </w:hyperlink>
    </w:p>
    <w:p w14:paraId="0520DD3F" w14:textId="77777777" w:rsidR="00286E71" w:rsidRDefault="00286E71"/>
    <w:p w14:paraId="6B401A41" w14:textId="77777777" w:rsidR="00286E71" w:rsidRDefault="00286E71"/>
    <w:p w14:paraId="292604F4" w14:textId="77777777" w:rsidR="00014ACE" w:rsidRDefault="00014ACE"/>
    <w:p w14:paraId="2BDB7A88" w14:textId="77777777" w:rsidR="00014ACE" w:rsidRDefault="00014ACE"/>
    <w:p w14:paraId="61D9CC5F" w14:textId="77777777" w:rsidR="00014ACE" w:rsidRDefault="00014ACE"/>
    <w:p w14:paraId="4C8D7B78" w14:textId="77777777" w:rsidR="00014ACE" w:rsidRDefault="00014ACE"/>
    <w:p w14:paraId="6015027D" w14:textId="77777777" w:rsidR="00014ACE" w:rsidRDefault="00014ACE"/>
    <w:p w14:paraId="1B746493" w14:textId="77777777" w:rsidR="00014ACE" w:rsidRDefault="00014ACE"/>
    <w:p w14:paraId="0FAADFE5" w14:textId="77777777" w:rsidR="00452DB4" w:rsidRDefault="00452DB4"/>
    <w:p w14:paraId="5025AE96" w14:textId="77777777" w:rsidR="00014ACE" w:rsidRDefault="00014ACE"/>
    <w:p w14:paraId="46B1EDB5" w14:textId="638C97E9" w:rsidR="00014ACE" w:rsidRDefault="00014ACE">
      <w:pPr>
        <w:rPr>
          <w:b/>
          <w:bCs/>
          <w:color w:val="215E99" w:themeColor="text2" w:themeTint="BF"/>
          <w:u w:val="single"/>
        </w:rPr>
      </w:pPr>
      <w:r w:rsidRPr="00014ACE">
        <w:rPr>
          <w:b/>
          <w:bCs/>
          <w:color w:val="215E99" w:themeColor="text2" w:themeTint="BF"/>
          <w:u w:val="single"/>
        </w:rPr>
        <w:t xml:space="preserve">STATISA research: </w:t>
      </w:r>
    </w:p>
    <w:p w14:paraId="3DB5CC51" w14:textId="77777777" w:rsidR="00014ACE" w:rsidRPr="00014ACE" w:rsidRDefault="00014ACE" w:rsidP="00014ACE">
      <w:pPr>
        <w:shd w:val="clear" w:color="auto" w:fill="FFFFFF"/>
        <w:spacing w:after="0" w:line="240" w:lineRule="auto"/>
        <w:textAlignment w:val="baseline"/>
        <w:rPr>
          <w:rFonts w:ascii="Open Sans" w:eastAsia="Times New Roman" w:hAnsi="Open Sans" w:cs="Open Sans"/>
          <w:color w:val="455F7C"/>
          <w:kern w:val="0"/>
          <w:sz w:val="21"/>
          <w:szCs w:val="21"/>
          <w:lang w:eastAsia="en-GB"/>
          <w14:ligatures w14:val="none"/>
        </w:rPr>
      </w:pPr>
      <w:r w:rsidRPr="00014ACE">
        <w:rPr>
          <w:rFonts w:ascii="Open Sans" w:eastAsia="Times New Roman" w:hAnsi="Open Sans" w:cs="Open Sans"/>
          <w:color w:val="455F7C"/>
          <w:kern w:val="0"/>
          <w:sz w:val="21"/>
          <w:szCs w:val="21"/>
          <w:bdr w:val="none" w:sz="0" w:space="0" w:color="auto" w:frame="1"/>
          <w:lang w:eastAsia="en-GB"/>
          <w14:ligatures w14:val="none"/>
        </w:rPr>
        <w:t>As of 2023, the number of dwellings per 1,000 people varies significantly across the selected countries. In Europe, Bulgaria leads with 668 dwellings per 1,000 citizens, followed by Spain (559) and France (553). Germany and Denmark both have 516 dwellings per 1,000 people, while the Netherlands has 457 </w:t>
      </w:r>
    </w:p>
    <w:p w14:paraId="70810DF5" w14:textId="77777777" w:rsidR="00014ACE" w:rsidRPr="00014ACE" w:rsidRDefault="00014ACE" w:rsidP="00014ACE">
      <w:pPr>
        <w:shd w:val="clear" w:color="auto" w:fill="FFFFFF"/>
        <w:spacing w:after="0" w:line="240" w:lineRule="atLeast"/>
        <w:textAlignment w:val="baseline"/>
        <w:rPr>
          <w:rFonts w:ascii="Times New Roman" w:eastAsia="Times New Roman" w:hAnsi="Times New Roman" w:cs="Times New Roman"/>
          <w:color w:val="455F7C"/>
          <w:kern w:val="0"/>
          <w:sz w:val="17"/>
          <w:szCs w:val="17"/>
          <w:lang w:eastAsia="en-GB"/>
          <w14:ligatures w14:val="none"/>
        </w:rPr>
      </w:pPr>
    </w:p>
    <w:p w14:paraId="2201584E" w14:textId="77777777" w:rsidR="00014ACE" w:rsidRPr="00014ACE" w:rsidRDefault="00014ACE" w:rsidP="00014ACE">
      <w:pPr>
        <w:shd w:val="clear" w:color="auto" w:fill="FFFFFF"/>
        <w:spacing w:after="0" w:line="240" w:lineRule="atLeast"/>
        <w:textAlignment w:val="baseline"/>
        <w:rPr>
          <w:rFonts w:ascii="Times New Roman" w:eastAsia="Times New Roman" w:hAnsi="Times New Roman" w:cs="Times New Roman"/>
          <w:color w:val="455F7C"/>
          <w:kern w:val="0"/>
          <w:sz w:val="17"/>
          <w:szCs w:val="17"/>
          <w:lang w:eastAsia="en-GB"/>
          <w14:ligatures w14:val="none"/>
        </w:rPr>
      </w:pPr>
    </w:p>
    <w:p w14:paraId="0A9BE52E" w14:textId="0652E324" w:rsidR="00014ACE" w:rsidRPr="00014ACE" w:rsidRDefault="00014ACE" w:rsidP="00014ACE">
      <w:pPr>
        <w:spacing w:after="0" w:line="240" w:lineRule="auto"/>
        <w:rPr>
          <w:rFonts w:ascii="Times New Roman" w:eastAsia="Times New Roman" w:hAnsi="Times New Roman" w:cs="Times New Roman"/>
          <w:kern w:val="0"/>
          <w:lang w:eastAsia="en-GB"/>
          <w14:ligatures w14:val="none"/>
        </w:rPr>
      </w:pPr>
      <w:r w:rsidRPr="00014ACE">
        <w:rPr>
          <w:rFonts w:ascii="Times New Roman" w:eastAsia="Times New Roman" w:hAnsi="Times New Roman" w:cs="Times New Roman"/>
          <w:kern w:val="0"/>
          <w:sz w:val="21"/>
          <w:szCs w:val="21"/>
          <w:bdr w:val="none" w:sz="0" w:space="0" w:color="auto" w:frame="1"/>
          <w:lang w:eastAsia="en-GB"/>
          <w14:ligatures w14:val="none"/>
        </w:rPr>
        <w:t>The United Kingdom has 374 dwellings per 1,000 inhabitants </w:t>
      </w:r>
    </w:p>
    <w:p w14:paraId="53FFB981" w14:textId="2D6C9C5A" w:rsidR="00014ACE" w:rsidRPr="00014ACE" w:rsidRDefault="00014ACE" w:rsidP="00014ACE">
      <w:pPr>
        <w:spacing w:after="0" w:line="240" w:lineRule="auto"/>
        <w:rPr>
          <w:rFonts w:ascii="Times New Roman" w:eastAsia="Times New Roman" w:hAnsi="Times New Roman" w:cs="Times New Roman"/>
          <w:kern w:val="0"/>
          <w:lang w:eastAsia="en-GB"/>
          <w14:ligatures w14:val="none"/>
        </w:rPr>
      </w:pPr>
    </w:p>
    <w:p w14:paraId="147C5CD0" w14:textId="77777777" w:rsidR="00014ACE" w:rsidRPr="00014ACE" w:rsidRDefault="00014ACE" w:rsidP="00014ACE">
      <w:pPr>
        <w:shd w:val="clear" w:color="auto" w:fill="FFFFFF"/>
        <w:spacing w:after="0" w:line="240" w:lineRule="auto"/>
        <w:textAlignment w:val="baseline"/>
        <w:rPr>
          <w:rFonts w:ascii="Open Sans" w:eastAsia="Times New Roman" w:hAnsi="Open Sans" w:cs="Open Sans"/>
          <w:color w:val="455F7C"/>
          <w:kern w:val="0"/>
          <w:sz w:val="21"/>
          <w:szCs w:val="21"/>
          <w:lang w:eastAsia="en-GB"/>
          <w14:ligatures w14:val="none"/>
        </w:rPr>
      </w:pPr>
      <w:r w:rsidRPr="00014ACE">
        <w:rPr>
          <w:rFonts w:ascii="Open Sans" w:eastAsia="Times New Roman" w:hAnsi="Open Sans" w:cs="Open Sans"/>
          <w:color w:val="455F7C"/>
          <w:kern w:val="0"/>
          <w:sz w:val="21"/>
          <w:szCs w:val="21"/>
          <w:bdr w:val="none" w:sz="0" w:space="0" w:color="auto" w:frame="1"/>
          <w:lang w:eastAsia="en-GB"/>
          <w14:ligatures w14:val="none"/>
        </w:rPr>
        <w:t>For other countries, specific data on dwellings per 1,000 people is not provided. However, Germany has the largest total housing stock in Europe with 43.6 million units, followed by France (37.8 million) and Spain (26.8 million) </w:t>
      </w:r>
    </w:p>
    <w:p w14:paraId="02014DF7" w14:textId="77777777" w:rsidR="00014ACE" w:rsidRPr="00014ACE" w:rsidRDefault="00014ACE" w:rsidP="00014ACE">
      <w:pPr>
        <w:spacing w:after="0" w:line="240" w:lineRule="auto"/>
        <w:textAlignment w:val="baseline"/>
        <w:rPr>
          <w:rFonts w:ascii="Times New Roman" w:eastAsia="Times New Roman" w:hAnsi="Times New Roman" w:cs="Times New Roman"/>
          <w:kern w:val="0"/>
          <w:sz w:val="21"/>
          <w:szCs w:val="21"/>
          <w:lang w:eastAsia="en-GB"/>
          <w14:ligatures w14:val="none"/>
        </w:rPr>
      </w:pPr>
      <w:r w:rsidRPr="00014ACE">
        <w:rPr>
          <w:rFonts w:ascii="Times New Roman" w:eastAsia="Times New Roman" w:hAnsi="Times New Roman" w:cs="Times New Roman"/>
          <w:kern w:val="0"/>
          <w:sz w:val="21"/>
          <w:szCs w:val="21"/>
          <w:lang w:eastAsia="en-GB"/>
          <w14:ligatures w14:val="none"/>
        </w:rPr>
        <w:t> </w:t>
      </w:r>
    </w:p>
    <w:p w14:paraId="19685097" w14:textId="77777777" w:rsidR="00014ACE" w:rsidRPr="00014ACE" w:rsidRDefault="00014ACE" w:rsidP="00014ACE">
      <w:pPr>
        <w:shd w:val="clear" w:color="auto" w:fill="FFFFFF"/>
        <w:spacing w:after="0" w:line="240" w:lineRule="auto"/>
        <w:textAlignment w:val="baseline"/>
        <w:rPr>
          <w:rFonts w:ascii="Open Sans" w:eastAsia="Times New Roman" w:hAnsi="Open Sans" w:cs="Open Sans"/>
          <w:color w:val="455F7C"/>
          <w:kern w:val="0"/>
          <w:sz w:val="21"/>
          <w:szCs w:val="21"/>
          <w:lang w:eastAsia="en-GB"/>
          <w14:ligatures w14:val="none"/>
        </w:rPr>
      </w:pPr>
      <w:r w:rsidRPr="00014ACE">
        <w:rPr>
          <w:rFonts w:ascii="Open Sans" w:eastAsia="Times New Roman" w:hAnsi="Open Sans" w:cs="Open Sans"/>
          <w:color w:val="455F7C"/>
          <w:kern w:val="0"/>
          <w:sz w:val="21"/>
          <w:szCs w:val="21"/>
          <w:bdr w:val="none" w:sz="0" w:space="0" w:color="auto" w:frame="1"/>
          <w:lang w:eastAsia="en-GB"/>
          <w14:ligatures w14:val="none"/>
        </w:rPr>
        <w:t>Regarding vacancy rates, in the UK, Birmingham had the lowest office vacancy rate at 6.31% in Q3 2024, while Central London (East) had the highest at 15.59% </w:t>
      </w:r>
    </w:p>
    <w:p w14:paraId="51E86AD9" w14:textId="77777777" w:rsidR="00014ACE" w:rsidRPr="00014ACE" w:rsidRDefault="00014ACE" w:rsidP="00014ACE">
      <w:pPr>
        <w:spacing w:after="0" w:line="240" w:lineRule="auto"/>
        <w:textAlignment w:val="baseline"/>
        <w:rPr>
          <w:rFonts w:ascii="Times New Roman" w:eastAsia="Times New Roman" w:hAnsi="Times New Roman" w:cs="Times New Roman"/>
          <w:kern w:val="0"/>
          <w:sz w:val="21"/>
          <w:szCs w:val="21"/>
          <w:lang w:eastAsia="en-GB"/>
          <w14:ligatures w14:val="none"/>
        </w:rPr>
      </w:pPr>
      <w:r w:rsidRPr="00014ACE">
        <w:rPr>
          <w:rFonts w:ascii="Times New Roman" w:eastAsia="Times New Roman" w:hAnsi="Times New Roman" w:cs="Times New Roman"/>
          <w:kern w:val="0"/>
          <w:sz w:val="21"/>
          <w:szCs w:val="21"/>
          <w:lang w:eastAsia="en-GB"/>
          <w14:ligatures w14:val="none"/>
        </w:rPr>
        <w:t> </w:t>
      </w:r>
    </w:p>
    <w:p w14:paraId="2D40320F" w14:textId="34E094F3" w:rsidR="00014ACE" w:rsidRPr="00014ACE" w:rsidRDefault="00014ACE" w:rsidP="00014ACE">
      <w:pPr>
        <w:spacing w:after="0" w:line="240" w:lineRule="auto"/>
        <w:rPr>
          <w:rFonts w:ascii="Times New Roman" w:eastAsia="Times New Roman" w:hAnsi="Times New Roman" w:cs="Times New Roman"/>
          <w:kern w:val="0"/>
          <w:lang w:eastAsia="en-GB"/>
          <w14:ligatures w14:val="none"/>
        </w:rPr>
      </w:pPr>
    </w:p>
    <w:p w14:paraId="12CD4790" w14:textId="77777777" w:rsidR="00014ACE" w:rsidRPr="00014ACE" w:rsidRDefault="00014ACE" w:rsidP="00014ACE">
      <w:pPr>
        <w:shd w:val="clear" w:color="auto" w:fill="FFFFFF"/>
        <w:spacing w:after="0" w:line="240" w:lineRule="auto"/>
        <w:textAlignment w:val="baseline"/>
        <w:rPr>
          <w:rFonts w:ascii="Open Sans" w:eastAsia="Times New Roman" w:hAnsi="Open Sans" w:cs="Open Sans"/>
          <w:color w:val="455F7C"/>
          <w:kern w:val="0"/>
          <w:sz w:val="21"/>
          <w:szCs w:val="21"/>
          <w:lang w:eastAsia="en-GB"/>
          <w14:ligatures w14:val="none"/>
        </w:rPr>
      </w:pPr>
      <w:r w:rsidRPr="00014ACE">
        <w:rPr>
          <w:rFonts w:ascii="Open Sans" w:eastAsia="Times New Roman" w:hAnsi="Open Sans" w:cs="Open Sans"/>
          <w:color w:val="455F7C"/>
          <w:kern w:val="0"/>
          <w:sz w:val="21"/>
          <w:szCs w:val="21"/>
          <w:bdr w:val="none" w:sz="0" w:space="0" w:color="auto" w:frame="1"/>
          <w:lang w:eastAsia="en-GB"/>
          <w14:ligatures w14:val="none"/>
        </w:rPr>
        <w:t>Homeownership rates in 2023 show significant variation: Romania (95.6%), Slovakia (93.6%), Poland (87.3%), Spain (75.3%), Greece (69.6%), Netherlands (70.2%), France (63.1%), Germany (47.6%), and Switzerland (42.3%) </w:t>
      </w:r>
    </w:p>
    <w:p w14:paraId="683F182E" w14:textId="77777777" w:rsidR="00014ACE" w:rsidRPr="00014ACE" w:rsidRDefault="00014ACE" w:rsidP="00014ACE">
      <w:pPr>
        <w:spacing w:after="0" w:line="240" w:lineRule="auto"/>
        <w:textAlignment w:val="baseline"/>
        <w:rPr>
          <w:rFonts w:ascii="Times New Roman" w:eastAsia="Times New Roman" w:hAnsi="Times New Roman" w:cs="Times New Roman"/>
          <w:kern w:val="0"/>
          <w:sz w:val="21"/>
          <w:szCs w:val="21"/>
          <w:lang w:eastAsia="en-GB"/>
          <w14:ligatures w14:val="none"/>
        </w:rPr>
      </w:pPr>
      <w:r w:rsidRPr="00014ACE">
        <w:rPr>
          <w:rFonts w:ascii="Times New Roman" w:eastAsia="Times New Roman" w:hAnsi="Times New Roman" w:cs="Times New Roman"/>
          <w:kern w:val="0"/>
          <w:sz w:val="21"/>
          <w:szCs w:val="21"/>
          <w:lang w:eastAsia="en-GB"/>
          <w14:ligatures w14:val="none"/>
        </w:rPr>
        <w:t> </w:t>
      </w:r>
    </w:p>
    <w:p w14:paraId="3951B071" w14:textId="77777777" w:rsidR="00014ACE" w:rsidRPr="00014ACE" w:rsidRDefault="00014ACE" w:rsidP="00014ACE">
      <w:pPr>
        <w:shd w:val="clear" w:color="auto" w:fill="FFFFFF"/>
        <w:spacing w:after="0" w:line="240" w:lineRule="auto"/>
        <w:textAlignment w:val="baseline"/>
        <w:rPr>
          <w:rFonts w:ascii="Open Sans" w:eastAsia="Times New Roman" w:hAnsi="Open Sans" w:cs="Open Sans"/>
          <w:color w:val="455F7C"/>
          <w:kern w:val="0"/>
          <w:sz w:val="21"/>
          <w:szCs w:val="21"/>
          <w:lang w:eastAsia="en-GB"/>
          <w14:ligatures w14:val="none"/>
        </w:rPr>
      </w:pPr>
      <w:r w:rsidRPr="00014ACE">
        <w:rPr>
          <w:rFonts w:ascii="Open Sans" w:eastAsia="Times New Roman" w:hAnsi="Open Sans" w:cs="Open Sans"/>
          <w:color w:val="455F7C"/>
          <w:kern w:val="0"/>
          <w:sz w:val="21"/>
          <w:szCs w:val="21"/>
          <w:bdr w:val="none" w:sz="0" w:space="0" w:color="auto" w:frame="1"/>
          <w:lang w:eastAsia="en-GB"/>
          <w14:ligatures w14:val="none"/>
        </w:rPr>
        <w:t>House price changes are not provided for all countries, but the UK experienced a decline in 2023 due to rising interest rates and cost of living, while Hungary saw a surge of over 13% </w:t>
      </w:r>
    </w:p>
    <w:p w14:paraId="0DEAA6E9" w14:textId="77777777" w:rsidR="00014ACE" w:rsidRPr="00014ACE" w:rsidRDefault="00014ACE" w:rsidP="00014ACE">
      <w:pPr>
        <w:spacing w:after="0" w:line="240" w:lineRule="auto"/>
        <w:textAlignment w:val="baseline"/>
        <w:rPr>
          <w:rFonts w:ascii="Times New Roman" w:eastAsia="Times New Roman" w:hAnsi="Times New Roman" w:cs="Times New Roman"/>
          <w:kern w:val="0"/>
          <w:sz w:val="21"/>
          <w:szCs w:val="21"/>
          <w:lang w:eastAsia="en-GB"/>
          <w14:ligatures w14:val="none"/>
        </w:rPr>
      </w:pPr>
      <w:r w:rsidRPr="00014ACE">
        <w:rPr>
          <w:rFonts w:ascii="Times New Roman" w:eastAsia="Times New Roman" w:hAnsi="Times New Roman" w:cs="Times New Roman"/>
          <w:kern w:val="0"/>
          <w:sz w:val="21"/>
          <w:szCs w:val="21"/>
          <w:lang w:eastAsia="en-GB"/>
          <w14:ligatures w14:val="none"/>
        </w:rPr>
        <w:t> </w:t>
      </w:r>
    </w:p>
    <w:p w14:paraId="7E11F389" w14:textId="77777777" w:rsidR="00014ACE" w:rsidRPr="00014ACE" w:rsidRDefault="00014ACE" w:rsidP="00014ACE">
      <w:pPr>
        <w:pBdr>
          <w:bottom w:val="single" w:sz="6" w:space="1" w:color="auto"/>
        </w:pBdr>
        <w:shd w:val="clear" w:color="auto" w:fill="FFFFFF"/>
        <w:spacing w:after="0" w:line="240" w:lineRule="auto"/>
        <w:textAlignment w:val="baseline"/>
        <w:rPr>
          <w:rFonts w:ascii="Times New Roman" w:eastAsia="Times New Roman" w:hAnsi="Times New Roman" w:cs="Times New Roman"/>
          <w:color w:val="0666E5"/>
          <w:kern w:val="0"/>
          <w:sz w:val="20"/>
          <w:szCs w:val="20"/>
          <w:bdr w:val="none" w:sz="0" w:space="0" w:color="auto" w:frame="1"/>
          <w:lang w:eastAsia="en-GB"/>
          <w14:ligatures w14:val="none"/>
        </w:rPr>
      </w:pPr>
      <w:r w:rsidRPr="00014ACE">
        <w:rPr>
          <w:rFonts w:ascii="Times New Roman" w:eastAsia="Times New Roman" w:hAnsi="Times New Roman" w:cs="Times New Roman"/>
          <w:color w:val="455F7C"/>
          <w:kern w:val="0"/>
          <w:sz w:val="21"/>
          <w:szCs w:val="21"/>
          <w:lang w:eastAsia="en-GB"/>
          <w14:ligatures w14:val="none"/>
        </w:rPr>
        <w:fldChar w:fldCharType="begin"/>
      </w:r>
      <w:r w:rsidRPr="00014ACE">
        <w:rPr>
          <w:rFonts w:ascii="Times New Roman" w:eastAsia="Times New Roman" w:hAnsi="Times New Roman" w:cs="Times New Roman"/>
          <w:color w:val="455F7C"/>
          <w:kern w:val="0"/>
          <w:sz w:val="21"/>
          <w:szCs w:val="21"/>
          <w:lang w:eastAsia="en-GB"/>
          <w14:ligatures w14:val="none"/>
        </w:rPr>
        <w:instrText>HYPERLINK "https://www.statista.com/statistics/898238/housing-stock-in-european-countries-in-total/"</w:instrText>
      </w:r>
      <w:r w:rsidRPr="00014ACE">
        <w:rPr>
          <w:rFonts w:ascii="Times New Roman" w:eastAsia="Times New Roman" w:hAnsi="Times New Roman" w:cs="Times New Roman"/>
          <w:color w:val="455F7C"/>
          <w:kern w:val="0"/>
          <w:sz w:val="21"/>
          <w:szCs w:val="21"/>
          <w:lang w:eastAsia="en-GB"/>
          <w14:ligatures w14:val="none"/>
        </w:rPr>
      </w:r>
      <w:r w:rsidRPr="00014ACE">
        <w:rPr>
          <w:rFonts w:ascii="Times New Roman" w:eastAsia="Times New Roman" w:hAnsi="Times New Roman" w:cs="Times New Roman"/>
          <w:color w:val="455F7C"/>
          <w:kern w:val="0"/>
          <w:sz w:val="21"/>
          <w:szCs w:val="21"/>
          <w:lang w:eastAsia="en-GB"/>
          <w14:ligatures w14:val="none"/>
        </w:rPr>
        <w:fldChar w:fldCharType="separate"/>
      </w:r>
    </w:p>
    <w:p w14:paraId="75AE6FA4" w14:textId="1888896D" w:rsidR="00B779C6" w:rsidRDefault="00014ACE" w:rsidP="00014ACE">
      <w:pPr>
        <w:shd w:val="clear" w:color="auto" w:fill="FFFFFF"/>
        <w:spacing w:after="0" w:line="240" w:lineRule="auto"/>
        <w:textAlignment w:val="baseline"/>
        <w:rPr>
          <w:rFonts w:ascii="Times New Roman" w:eastAsia="Times New Roman" w:hAnsi="Times New Roman" w:cs="Times New Roman"/>
          <w:color w:val="455F7C"/>
          <w:kern w:val="0"/>
          <w:sz w:val="21"/>
          <w:szCs w:val="21"/>
          <w:lang w:eastAsia="en-GB"/>
          <w14:ligatures w14:val="none"/>
        </w:rPr>
      </w:pPr>
      <w:r w:rsidRPr="00014ACE">
        <w:rPr>
          <w:rFonts w:ascii="Times New Roman" w:eastAsia="Times New Roman" w:hAnsi="Times New Roman" w:cs="Times New Roman"/>
          <w:color w:val="455F7C"/>
          <w:kern w:val="0"/>
          <w:sz w:val="21"/>
          <w:szCs w:val="21"/>
          <w:lang w:eastAsia="en-GB"/>
          <w14:ligatures w14:val="none"/>
        </w:rPr>
        <w:fldChar w:fldCharType="end"/>
      </w:r>
    </w:p>
    <w:p w14:paraId="7B986FF2" w14:textId="77777777" w:rsidR="00B779C6" w:rsidRPr="00B779C6" w:rsidRDefault="00B779C6" w:rsidP="00B779C6">
      <w:pPr>
        <w:shd w:val="clear" w:color="auto" w:fill="FFFFFF"/>
        <w:spacing w:after="0" w:line="240" w:lineRule="auto"/>
        <w:textAlignment w:val="baseline"/>
        <w:rPr>
          <w:rFonts w:ascii="Open Sans" w:eastAsia="Times New Roman" w:hAnsi="Open Sans" w:cs="Open Sans"/>
          <w:color w:val="455F7C"/>
          <w:kern w:val="0"/>
          <w:sz w:val="21"/>
          <w:szCs w:val="21"/>
          <w:lang w:eastAsia="en-GB"/>
          <w14:ligatures w14:val="none"/>
        </w:rPr>
      </w:pPr>
      <w:r w:rsidRPr="00B779C6">
        <w:rPr>
          <w:rFonts w:ascii="Open Sans" w:eastAsia="Times New Roman" w:hAnsi="Open Sans" w:cs="Open Sans"/>
          <w:color w:val="455F7C"/>
          <w:kern w:val="0"/>
          <w:sz w:val="21"/>
          <w:szCs w:val="21"/>
          <w:bdr w:val="none" w:sz="0" w:space="0" w:color="auto" w:frame="1"/>
          <w:lang w:eastAsia="en-GB"/>
          <w14:ligatures w14:val="none"/>
        </w:rPr>
        <w:t>The data source for dwellings per thousand inhabitants in the UK is not explicitly stated in the provided information. However, there are several relevant statistics available on UK real estate market trends:</w:t>
      </w:r>
    </w:p>
    <w:p w14:paraId="220B9CF7" w14:textId="77777777" w:rsidR="00B779C6" w:rsidRPr="00B779C6" w:rsidRDefault="00B779C6" w:rsidP="00B779C6">
      <w:pPr>
        <w:shd w:val="clear" w:color="auto" w:fill="FFFFFF"/>
        <w:spacing w:after="0" w:line="240" w:lineRule="auto"/>
        <w:textAlignment w:val="baseline"/>
        <w:rPr>
          <w:rFonts w:ascii="Open Sans" w:eastAsia="Times New Roman" w:hAnsi="Open Sans" w:cs="Open Sans"/>
          <w:color w:val="455F7C"/>
          <w:kern w:val="0"/>
          <w:sz w:val="21"/>
          <w:szCs w:val="21"/>
          <w:lang w:eastAsia="en-GB"/>
          <w14:ligatures w14:val="none"/>
        </w:rPr>
      </w:pPr>
      <w:r w:rsidRPr="00B779C6">
        <w:rPr>
          <w:rFonts w:ascii="Open Sans" w:eastAsia="Times New Roman" w:hAnsi="Open Sans" w:cs="Open Sans"/>
          <w:color w:val="455F7C"/>
          <w:kern w:val="0"/>
          <w:sz w:val="21"/>
          <w:szCs w:val="21"/>
          <w:bdr w:val="none" w:sz="0" w:space="0" w:color="auto" w:frame="1"/>
          <w:lang w:eastAsia="en-GB"/>
          <w14:ligatures w14:val="none"/>
        </w:rPr>
        <w:t>As of 2023, the housing completion rate in Great Britain was 2.8 dwellings per 1,000 people in England, 1.49 in Wales, and 3.81 in Scotland </w:t>
      </w:r>
    </w:p>
    <w:p w14:paraId="3291618F" w14:textId="77777777" w:rsidR="00B779C6" w:rsidRPr="00B779C6" w:rsidRDefault="00B779C6" w:rsidP="00B779C6">
      <w:pPr>
        <w:spacing w:after="0" w:line="240" w:lineRule="auto"/>
        <w:textAlignment w:val="baseline"/>
        <w:rPr>
          <w:rFonts w:ascii="Times New Roman" w:eastAsia="Times New Roman" w:hAnsi="Times New Roman" w:cs="Times New Roman"/>
          <w:kern w:val="0"/>
          <w:sz w:val="21"/>
          <w:szCs w:val="21"/>
          <w:lang w:eastAsia="en-GB"/>
          <w14:ligatures w14:val="none"/>
        </w:rPr>
      </w:pPr>
      <w:r w:rsidRPr="00B779C6">
        <w:rPr>
          <w:rFonts w:ascii="Times New Roman" w:eastAsia="Times New Roman" w:hAnsi="Times New Roman" w:cs="Times New Roman"/>
          <w:kern w:val="0"/>
          <w:sz w:val="21"/>
          <w:szCs w:val="21"/>
          <w:lang w:eastAsia="en-GB"/>
          <w14:ligatures w14:val="none"/>
        </w:rPr>
        <w:t> </w:t>
      </w:r>
    </w:p>
    <w:p w14:paraId="6F614505" w14:textId="0B5F43E4" w:rsidR="00B779C6" w:rsidRPr="00B779C6" w:rsidRDefault="00B779C6" w:rsidP="00B779C6">
      <w:pPr>
        <w:spacing w:after="0" w:line="240" w:lineRule="auto"/>
        <w:rPr>
          <w:rFonts w:ascii="Times New Roman" w:eastAsia="Times New Roman" w:hAnsi="Times New Roman" w:cs="Times New Roman"/>
          <w:kern w:val="0"/>
          <w:lang w:eastAsia="en-GB"/>
          <w14:ligatures w14:val="none"/>
        </w:rPr>
      </w:pPr>
      <w:r w:rsidRPr="00B779C6">
        <w:rPr>
          <w:rFonts w:ascii="Times New Roman" w:eastAsia="Times New Roman" w:hAnsi="Times New Roman" w:cs="Times New Roman"/>
          <w:kern w:val="0"/>
          <w:sz w:val="21"/>
          <w:szCs w:val="21"/>
          <w:bdr w:val="none" w:sz="0" w:space="0" w:color="auto" w:frame="1"/>
          <w:lang w:eastAsia="en-GB"/>
          <w14:ligatures w14:val="none"/>
        </w:rPr>
        <w:t>The total housing stock per 1,000 inhabitants in Great Britain was 438 as of 2016/2017, though this data is now outdated </w:t>
      </w:r>
    </w:p>
    <w:p w14:paraId="01A1CF73" w14:textId="77777777" w:rsidR="00B779C6" w:rsidRPr="00B779C6" w:rsidRDefault="00B779C6" w:rsidP="00B779C6">
      <w:pPr>
        <w:spacing w:after="0" w:line="240" w:lineRule="auto"/>
        <w:textAlignment w:val="baseline"/>
        <w:rPr>
          <w:rFonts w:ascii="Times New Roman" w:eastAsia="Times New Roman" w:hAnsi="Times New Roman" w:cs="Times New Roman"/>
          <w:kern w:val="0"/>
          <w:sz w:val="21"/>
          <w:szCs w:val="21"/>
          <w:lang w:eastAsia="en-GB"/>
          <w14:ligatures w14:val="none"/>
        </w:rPr>
      </w:pPr>
      <w:r w:rsidRPr="00B779C6">
        <w:rPr>
          <w:rFonts w:ascii="Times New Roman" w:eastAsia="Times New Roman" w:hAnsi="Times New Roman" w:cs="Times New Roman"/>
          <w:kern w:val="0"/>
          <w:sz w:val="21"/>
          <w:szCs w:val="21"/>
          <w:lang w:eastAsia="en-GB"/>
          <w14:ligatures w14:val="none"/>
        </w:rPr>
        <w:t> </w:t>
      </w:r>
    </w:p>
    <w:p w14:paraId="41F5AD84" w14:textId="331D7005" w:rsidR="00B779C6" w:rsidRPr="00B779C6" w:rsidRDefault="00B779C6" w:rsidP="00B779C6">
      <w:pPr>
        <w:shd w:val="clear" w:color="auto" w:fill="FFFFFF"/>
        <w:spacing w:after="0" w:line="240" w:lineRule="auto"/>
        <w:textAlignment w:val="baseline"/>
        <w:rPr>
          <w:rFonts w:ascii="Times New Roman" w:eastAsia="Times New Roman" w:hAnsi="Times New Roman" w:cs="Times New Roman"/>
          <w:kern w:val="0"/>
          <w:lang w:eastAsia="en-GB"/>
          <w14:ligatures w14:val="none"/>
        </w:rPr>
      </w:pPr>
    </w:p>
    <w:p w14:paraId="090E65E4" w14:textId="77777777" w:rsidR="00B779C6" w:rsidRPr="00B779C6" w:rsidRDefault="00B779C6" w:rsidP="00B779C6">
      <w:pPr>
        <w:shd w:val="clear" w:color="auto" w:fill="FFFFFF"/>
        <w:spacing w:after="0" w:line="240" w:lineRule="auto"/>
        <w:textAlignment w:val="baseline"/>
        <w:rPr>
          <w:rFonts w:ascii="Open Sans" w:eastAsia="Times New Roman" w:hAnsi="Open Sans" w:cs="Open Sans"/>
          <w:color w:val="455F7C"/>
          <w:kern w:val="0"/>
          <w:sz w:val="21"/>
          <w:szCs w:val="21"/>
          <w:lang w:eastAsia="en-GB"/>
          <w14:ligatures w14:val="none"/>
        </w:rPr>
      </w:pPr>
      <w:r w:rsidRPr="00B779C6">
        <w:rPr>
          <w:rFonts w:ascii="Open Sans" w:eastAsia="Times New Roman" w:hAnsi="Open Sans" w:cs="Open Sans"/>
          <w:color w:val="455F7C"/>
          <w:kern w:val="0"/>
          <w:sz w:val="21"/>
          <w:szCs w:val="21"/>
          <w:bdr w:val="none" w:sz="0" w:space="0" w:color="auto" w:frame="1"/>
          <w:lang w:eastAsia="en-GB"/>
          <w14:ligatures w14:val="none"/>
        </w:rPr>
        <w:t>Recent trends show a decline in UK home sales since 2021, with 2023 exhibiting the lowest transaction volume since 2012. This decline is primarily attributed to increased housing costs and higher mortgage rates </w:t>
      </w:r>
    </w:p>
    <w:p w14:paraId="08679381" w14:textId="77777777" w:rsidR="00B779C6" w:rsidRPr="00B779C6" w:rsidRDefault="00B779C6" w:rsidP="00B779C6">
      <w:pPr>
        <w:spacing w:after="0" w:line="240" w:lineRule="auto"/>
        <w:textAlignment w:val="baseline"/>
        <w:rPr>
          <w:rFonts w:ascii="Times New Roman" w:eastAsia="Times New Roman" w:hAnsi="Times New Roman" w:cs="Times New Roman"/>
          <w:kern w:val="0"/>
          <w:sz w:val="21"/>
          <w:szCs w:val="21"/>
          <w:lang w:eastAsia="en-GB"/>
          <w14:ligatures w14:val="none"/>
        </w:rPr>
      </w:pPr>
      <w:r w:rsidRPr="00B779C6">
        <w:rPr>
          <w:rFonts w:ascii="Times New Roman" w:eastAsia="Times New Roman" w:hAnsi="Times New Roman" w:cs="Times New Roman"/>
          <w:kern w:val="0"/>
          <w:sz w:val="21"/>
          <w:szCs w:val="21"/>
          <w:lang w:eastAsia="en-GB"/>
          <w14:ligatures w14:val="none"/>
        </w:rPr>
        <w:t> </w:t>
      </w:r>
    </w:p>
    <w:p w14:paraId="7B77CC0A" w14:textId="77777777" w:rsidR="00B779C6" w:rsidRPr="00B779C6" w:rsidRDefault="00B779C6" w:rsidP="00B779C6">
      <w:pPr>
        <w:shd w:val="clear" w:color="auto" w:fill="FFFFFF"/>
        <w:spacing w:after="0" w:line="240" w:lineRule="atLeast"/>
        <w:textAlignment w:val="baseline"/>
        <w:rPr>
          <w:rFonts w:ascii="Times New Roman" w:eastAsia="Times New Roman" w:hAnsi="Times New Roman" w:cs="Times New Roman"/>
          <w:color w:val="455F7C"/>
          <w:kern w:val="0"/>
          <w:sz w:val="17"/>
          <w:szCs w:val="17"/>
          <w:lang w:eastAsia="en-GB"/>
          <w14:ligatures w14:val="none"/>
        </w:rPr>
      </w:pPr>
    </w:p>
    <w:p w14:paraId="2A6F6F84" w14:textId="056082D9" w:rsidR="00B779C6" w:rsidRPr="00B779C6" w:rsidRDefault="00B779C6" w:rsidP="00B779C6">
      <w:pPr>
        <w:spacing w:after="0" w:line="240" w:lineRule="auto"/>
        <w:rPr>
          <w:rFonts w:ascii="Times New Roman" w:eastAsia="Times New Roman" w:hAnsi="Times New Roman" w:cs="Times New Roman"/>
          <w:kern w:val="0"/>
          <w:lang w:eastAsia="en-GB"/>
          <w14:ligatures w14:val="none"/>
        </w:rPr>
      </w:pPr>
      <w:r w:rsidRPr="00B779C6">
        <w:rPr>
          <w:rFonts w:ascii="Times New Roman" w:eastAsia="Times New Roman" w:hAnsi="Times New Roman" w:cs="Times New Roman"/>
          <w:kern w:val="0"/>
          <w:sz w:val="21"/>
          <w:szCs w:val="21"/>
          <w:bdr w:val="none" w:sz="0" w:space="0" w:color="auto" w:frame="1"/>
          <w:lang w:eastAsia="en-GB"/>
          <w14:ligatures w14:val="none"/>
        </w:rPr>
        <w:t>Despite this, house prices in the UK are projected to grow by an average of 2.7% per year from 2024 to 2028 </w:t>
      </w:r>
    </w:p>
    <w:p w14:paraId="4E645D93" w14:textId="0890A8DF" w:rsidR="00B779C6" w:rsidRPr="00B779C6" w:rsidRDefault="00B779C6" w:rsidP="00B779C6">
      <w:pPr>
        <w:spacing w:after="0" w:line="240" w:lineRule="auto"/>
        <w:textAlignment w:val="baseline"/>
        <w:rPr>
          <w:rFonts w:ascii="Times New Roman" w:eastAsia="Times New Roman" w:hAnsi="Times New Roman" w:cs="Times New Roman"/>
          <w:kern w:val="0"/>
          <w:lang w:eastAsia="en-GB"/>
          <w14:ligatures w14:val="none"/>
        </w:rPr>
      </w:pPr>
      <w:r w:rsidRPr="00B779C6">
        <w:rPr>
          <w:rFonts w:ascii="Times New Roman" w:eastAsia="Times New Roman" w:hAnsi="Times New Roman" w:cs="Times New Roman"/>
          <w:kern w:val="0"/>
          <w:sz w:val="21"/>
          <w:szCs w:val="21"/>
          <w:lang w:eastAsia="en-GB"/>
          <w14:ligatures w14:val="none"/>
        </w:rPr>
        <w:t> </w:t>
      </w:r>
    </w:p>
    <w:p w14:paraId="7B66A511" w14:textId="77777777" w:rsidR="00B779C6" w:rsidRPr="00B779C6" w:rsidRDefault="00B779C6" w:rsidP="00B779C6">
      <w:pPr>
        <w:shd w:val="clear" w:color="auto" w:fill="FFFFFF"/>
        <w:spacing w:after="0" w:line="240" w:lineRule="auto"/>
        <w:textAlignment w:val="baseline"/>
        <w:rPr>
          <w:rFonts w:ascii="Open Sans" w:eastAsia="Times New Roman" w:hAnsi="Open Sans" w:cs="Open Sans"/>
          <w:color w:val="455F7C"/>
          <w:kern w:val="0"/>
          <w:sz w:val="21"/>
          <w:szCs w:val="21"/>
          <w:lang w:eastAsia="en-GB"/>
          <w14:ligatures w14:val="none"/>
        </w:rPr>
      </w:pPr>
      <w:r w:rsidRPr="00B779C6">
        <w:rPr>
          <w:rFonts w:ascii="Open Sans" w:eastAsia="Times New Roman" w:hAnsi="Open Sans" w:cs="Open Sans"/>
          <w:color w:val="455F7C"/>
          <w:kern w:val="0"/>
          <w:sz w:val="21"/>
          <w:szCs w:val="21"/>
          <w:bdr w:val="none" w:sz="0" w:space="0" w:color="auto" w:frame="1"/>
          <w:lang w:eastAsia="en-GB"/>
          <w14:ligatures w14:val="none"/>
        </w:rPr>
        <w:t>The commercial real estate market in the UK, while experiencing a decline in investment value, remains the largest in Europe as of 2023. Industrial real estate shows particularly strong prospects, with rental growth expected to outperform the industry average by one percentage point per annum through 2028 </w:t>
      </w:r>
    </w:p>
    <w:p w14:paraId="2BD7871F" w14:textId="77777777" w:rsidR="00B779C6" w:rsidRPr="00B779C6" w:rsidRDefault="00B779C6" w:rsidP="00B779C6">
      <w:pPr>
        <w:spacing w:after="0" w:line="240" w:lineRule="auto"/>
        <w:textAlignment w:val="baseline"/>
        <w:rPr>
          <w:rFonts w:ascii="Times New Roman" w:eastAsia="Times New Roman" w:hAnsi="Times New Roman" w:cs="Times New Roman"/>
          <w:kern w:val="0"/>
          <w:sz w:val="21"/>
          <w:szCs w:val="21"/>
          <w:lang w:eastAsia="en-GB"/>
          <w14:ligatures w14:val="none"/>
        </w:rPr>
      </w:pPr>
      <w:r w:rsidRPr="00B779C6">
        <w:rPr>
          <w:rFonts w:ascii="Times New Roman" w:eastAsia="Times New Roman" w:hAnsi="Times New Roman" w:cs="Times New Roman"/>
          <w:kern w:val="0"/>
          <w:sz w:val="21"/>
          <w:szCs w:val="21"/>
          <w:lang w:eastAsia="en-GB"/>
          <w14:ligatures w14:val="none"/>
        </w:rPr>
        <w:t> </w:t>
      </w:r>
    </w:p>
    <w:p w14:paraId="0667732D" w14:textId="77777777" w:rsidR="00B779C6" w:rsidRPr="00B779C6" w:rsidRDefault="00B779C6" w:rsidP="00B779C6">
      <w:pPr>
        <w:shd w:val="clear" w:color="auto" w:fill="FFFFFF"/>
        <w:spacing w:after="0" w:line="240" w:lineRule="auto"/>
        <w:textAlignment w:val="baseline"/>
        <w:rPr>
          <w:rFonts w:ascii="Times New Roman" w:eastAsia="Times New Roman" w:hAnsi="Times New Roman" w:cs="Times New Roman"/>
          <w:color w:val="0666E5"/>
          <w:kern w:val="0"/>
          <w:sz w:val="20"/>
          <w:szCs w:val="20"/>
          <w:bdr w:val="none" w:sz="0" w:space="0" w:color="auto" w:frame="1"/>
          <w:lang w:eastAsia="en-GB"/>
          <w14:ligatures w14:val="none"/>
        </w:rPr>
      </w:pPr>
      <w:r w:rsidRPr="00B779C6">
        <w:rPr>
          <w:rFonts w:ascii="Times New Roman" w:eastAsia="Times New Roman" w:hAnsi="Times New Roman" w:cs="Times New Roman"/>
          <w:color w:val="455F7C"/>
          <w:kern w:val="0"/>
          <w:sz w:val="21"/>
          <w:szCs w:val="21"/>
          <w:lang w:eastAsia="en-GB"/>
          <w14:ligatures w14:val="none"/>
        </w:rPr>
        <w:lastRenderedPageBreak/>
        <w:fldChar w:fldCharType="begin"/>
      </w:r>
      <w:r w:rsidRPr="00B779C6">
        <w:rPr>
          <w:rFonts w:ascii="Times New Roman" w:eastAsia="Times New Roman" w:hAnsi="Times New Roman" w:cs="Times New Roman"/>
          <w:color w:val="455F7C"/>
          <w:kern w:val="0"/>
          <w:sz w:val="21"/>
          <w:szCs w:val="21"/>
          <w:lang w:eastAsia="en-GB"/>
          <w14:ligatures w14:val="none"/>
        </w:rPr>
        <w:instrText>HYPERLINK "https://www.statista.com/topics/6049/real-estate-market-in-the-uk/"</w:instrText>
      </w:r>
      <w:r w:rsidRPr="00B779C6">
        <w:rPr>
          <w:rFonts w:ascii="Times New Roman" w:eastAsia="Times New Roman" w:hAnsi="Times New Roman" w:cs="Times New Roman"/>
          <w:color w:val="455F7C"/>
          <w:kern w:val="0"/>
          <w:sz w:val="21"/>
          <w:szCs w:val="21"/>
          <w:lang w:eastAsia="en-GB"/>
          <w14:ligatures w14:val="none"/>
        </w:rPr>
      </w:r>
      <w:r w:rsidRPr="00B779C6">
        <w:rPr>
          <w:rFonts w:ascii="Times New Roman" w:eastAsia="Times New Roman" w:hAnsi="Times New Roman" w:cs="Times New Roman"/>
          <w:color w:val="455F7C"/>
          <w:kern w:val="0"/>
          <w:sz w:val="21"/>
          <w:szCs w:val="21"/>
          <w:lang w:eastAsia="en-GB"/>
          <w14:ligatures w14:val="none"/>
        </w:rPr>
        <w:fldChar w:fldCharType="separate"/>
      </w:r>
    </w:p>
    <w:p w14:paraId="4CF9A566" w14:textId="1818CC45" w:rsidR="00B779C6" w:rsidRPr="00014ACE" w:rsidRDefault="00B779C6" w:rsidP="00B779C6">
      <w:pPr>
        <w:shd w:val="clear" w:color="auto" w:fill="FFFFFF"/>
        <w:spacing w:after="0" w:line="240" w:lineRule="auto"/>
        <w:textAlignment w:val="baseline"/>
        <w:rPr>
          <w:rFonts w:ascii="Times New Roman" w:eastAsia="Times New Roman" w:hAnsi="Times New Roman" w:cs="Times New Roman"/>
          <w:kern w:val="0"/>
          <w:lang w:eastAsia="en-GB"/>
          <w14:ligatures w14:val="none"/>
        </w:rPr>
      </w:pPr>
      <w:r w:rsidRPr="00B779C6">
        <w:rPr>
          <w:rFonts w:ascii="Times New Roman" w:eastAsia="Times New Roman" w:hAnsi="Times New Roman" w:cs="Times New Roman"/>
          <w:color w:val="455F7C"/>
          <w:kern w:val="0"/>
          <w:sz w:val="21"/>
          <w:szCs w:val="21"/>
          <w:lang w:eastAsia="en-GB"/>
          <w14:ligatures w14:val="none"/>
        </w:rPr>
        <w:fldChar w:fldCharType="end"/>
      </w:r>
    </w:p>
    <w:sectPr w:rsidR="00B779C6" w:rsidRPr="00014AC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96C48" w14:textId="77777777" w:rsidR="00AE1A3B" w:rsidRDefault="00AE1A3B" w:rsidP="00F378BB">
      <w:pPr>
        <w:spacing w:after="0" w:line="240" w:lineRule="auto"/>
      </w:pPr>
      <w:r>
        <w:separator/>
      </w:r>
    </w:p>
  </w:endnote>
  <w:endnote w:type="continuationSeparator" w:id="0">
    <w:p w14:paraId="76444A96" w14:textId="77777777" w:rsidR="00AE1A3B" w:rsidRDefault="00AE1A3B" w:rsidP="00F3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9B40A" w14:textId="77777777" w:rsidR="00AE1A3B" w:rsidRDefault="00AE1A3B" w:rsidP="00F378BB">
      <w:pPr>
        <w:spacing w:after="0" w:line="240" w:lineRule="auto"/>
      </w:pPr>
      <w:r>
        <w:separator/>
      </w:r>
    </w:p>
  </w:footnote>
  <w:footnote w:type="continuationSeparator" w:id="0">
    <w:p w14:paraId="057AEC99" w14:textId="77777777" w:rsidR="00AE1A3B" w:rsidRDefault="00AE1A3B" w:rsidP="00F3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C0D9B" w14:textId="1C41ADFF" w:rsidR="007007E2" w:rsidRPr="007007E2" w:rsidRDefault="007007E2" w:rsidP="007007E2">
    <w:pPr>
      <w:pStyle w:val="Header"/>
      <w:jc w:val="center"/>
    </w:pPr>
    <w:r>
      <w:rPr>
        <w:noProof/>
      </w:rPr>
      <w:drawing>
        <wp:inline distT="0" distB="0" distL="0" distR="0" wp14:anchorId="1EBCC97C" wp14:editId="22EA8136">
          <wp:extent cx="3234732" cy="437268"/>
          <wp:effectExtent l="0" t="0" r="0" b="0"/>
          <wp:docPr id="1633301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01297"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3234732" cy="437268"/>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8BB"/>
    <w:rsid w:val="00014ACE"/>
    <w:rsid w:val="00286E71"/>
    <w:rsid w:val="00433A39"/>
    <w:rsid w:val="00452DB4"/>
    <w:rsid w:val="005419CB"/>
    <w:rsid w:val="007007E2"/>
    <w:rsid w:val="008A298D"/>
    <w:rsid w:val="00966AA3"/>
    <w:rsid w:val="00AE1A3B"/>
    <w:rsid w:val="00B779C6"/>
    <w:rsid w:val="00B9683B"/>
    <w:rsid w:val="00BC256D"/>
    <w:rsid w:val="00C41A94"/>
    <w:rsid w:val="00CF6917"/>
    <w:rsid w:val="00E10434"/>
    <w:rsid w:val="00EC21BA"/>
    <w:rsid w:val="00F378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A3A1F4F"/>
  <w15:chartTrackingRefBased/>
  <w15:docId w15:val="{44B65A4C-4501-BC4A-B658-972A6FDEC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8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8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8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8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8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8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8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8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8BB"/>
    <w:rPr>
      <w:rFonts w:eastAsiaTheme="majorEastAsia" w:cstheme="majorBidi"/>
      <w:color w:val="272727" w:themeColor="text1" w:themeTint="D8"/>
    </w:rPr>
  </w:style>
  <w:style w:type="paragraph" w:styleId="Title">
    <w:name w:val="Title"/>
    <w:basedOn w:val="Normal"/>
    <w:next w:val="Normal"/>
    <w:link w:val="TitleChar"/>
    <w:uiPriority w:val="10"/>
    <w:qFormat/>
    <w:rsid w:val="00F37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8BB"/>
    <w:pPr>
      <w:spacing w:before="160"/>
      <w:jc w:val="center"/>
    </w:pPr>
    <w:rPr>
      <w:i/>
      <w:iCs/>
      <w:color w:val="404040" w:themeColor="text1" w:themeTint="BF"/>
    </w:rPr>
  </w:style>
  <w:style w:type="character" w:customStyle="1" w:styleId="QuoteChar">
    <w:name w:val="Quote Char"/>
    <w:basedOn w:val="DefaultParagraphFont"/>
    <w:link w:val="Quote"/>
    <w:uiPriority w:val="29"/>
    <w:rsid w:val="00F378BB"/>
    <w:rPr>
      <w:i/>
      <w:iCs/>
      <w:color w:val="404040" w:themeColor="text1" w:themeTint="BF"/>
    </w:rPr>
  </w:style>
  <w:style w:type="paragraph" w:styleId="ListParagraph">
    <w:name w:val="List Paragraph"/>
    <w:basedOn w:val="Normal"/>
    <w:uiPriority w:val="34"/>
    <w:qFormat/>
    <w:rsid w:val="00F378BB"/>
    <w:pPr>
      <w:ind w:left="720"/>
      <w:contextualSpacing/>
    </w:pPr>
  </w:style>
  <w:style w:type="character" w:styleId="IntenseEmphasis">
    <w:name w:val="Intense Emphasis"/>
    <w:basedOn w:val="DefaultParagraphFont"/>
    <w:uiPriority w:val="21"/>
    <w:qFormat/>
    <w:rsid w:val="00F378BB"/>
    <w:rPr>
      <w:i/>
      <w:iCs/>
      <w:color w:val="0F4761" w:themeColor="accent1" w:themeShade="BF"/>
    </w:rPr>
  </w:style>
  <w:style w:type="paragraph" w:styleId="IntenseQuote">
    <w:name w:val="Intense Quote"/>
    <w:basedOn w:val="Normal"/>
    <w:next w:val="Normal"/>
    <w:link w:val="IntenseQuoteChar"/>
    <w:uiPriority w:val="30"/>
    <w:qFormat/>
    <w:rsid w:val="00F37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8BB"/>
    <w:rPr>
      <w:i/>
      <w:iCs/>
      <w:color w:val="0F4761" w:themeColor="accent1" w:themeShade="BF"/>
    </w:rPr>
  </w:style>
  <w:style w:type="character" w:styleId="IntenseReference">
    <w:name w:val="Intense Reference"/>
    <w:basedOn w:val="DefaultParagraphFont"/>
    <w:uiPriority w:val="32"/>
    <w:qFormat/>
    <w:rsid w:val="00F378BB"/>
    <w:rPr>
      <w:b/>
      <w:bCs/>
      <w:smallCaps/>
      <w:color w:val="0F4761" w:themeColor="accent1" w:themeShade="BF"/>
      <w:spacing w:val="5"/>
    </w:rPr>
  </w:style>
  <w:style w:type="paragraph" w:styleId="Header">
    <w:name w:val="header"/>
    <w:basedOn w:val="Normal"/>
    <w:link w:val="HeaderChar"/>
    <w:uiPriority w:val="99"/>
    <w:unhideWhenUsed/>
    <w:rsid w:val="00F378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78BB"/>
  </w:style>
  <w:style w:type="paragraph" w:styleId="Footer">
    <w:name w:val="footer"/>
    <w:basedOn w:val="Normal"/>
    <w:link w:val="FooterChar"/>
    <w:uiPriority w:val="99"/>
    <w:unhideWhenUsed/>
    <w:rsid w:val="00F378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78BB"/>
  </w:style>
  <w:style w:type="character" w:styleId="Emphasis">
    <w:name w:val="Emphasis"/>
    <w:basedOn w:val="DefaultParagraphFont"/>
    <w:uiPriority w:val="20"/>
    <w:qFormat/>
    <w:rsid w:val="00F378BB"/>
    <w:rPr>
      <w:i/>
      <w:iCs/>
    </w:rPr>
  </w:style>
  <w:style w:type="paragraph" w:styleId="NormalWeb">
    <w:name w:val="Normal (Web)"/>
    <w:basedOn w:val="Normal"/>
    <w:uiPriority w:val="99"/>
    <w:semiHidden/>
    <w:unhideWhenUsed/>
    <w:rsid w:val="00014AC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researchairesponsetextitem">
    <w:name w:val="researchai__responsetextitem"/>
    <w:basedOn w:val="DefaultParagraphFont"/>
    <w:rsid w:val="00014ACE"/>
  </w:style>
  <w:style w:type="character" w:styleId="Hyperlink">
    <w:name w:val="Hyperlink"/>
    <w:basedOn w:val="DefaultParagraphFont"/>
    <w:uiPriority w:val="99"/>
    <w:unhideWhenUsed/>
    <w:rsid w:val="00014ACE"/>
    <w:rPr>
      <w:color w:val="0000FF"/>
      <w:u w:val="single"/>
    </w:rPr>
  </w:style>
  <w:style w:type="character" w:styleId="UnresolvedMention">
    <w:name w:val="Unresolved Mention"/>
    <w:basedOn w:val="DefaultParagraphFont"/>
    <w:uiPriority w:val="99"/>
    <w:semiHidden/>
    <w:unhideWhenUsed/>
    <w:rsid w:val="008A2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554328">
      <w:bodyDiv w:val="1"/>
      <w:marLeft w:val="0"/>
      <w:marRight w:val="0"/>
      <w:marTop w:val="0"/>
      <w:marBottom w:val="0"/>
      <w:divBdr>
        <w:top w:val="none" w:sz="0" w:space="0" w:color="auto"/>
        <w:left w:val="none" w:sz="0" w:space="0" w:color="auto"/>
        <w:bottom w:val="none" w:sz="0" w:space="0" w:color="auto"/>
        <w:right w:val="none" w:sz="0" w:space="0" w:color="auto"/>
      </w:divBdr>
      <w:divsChild>
        <w:div w:id="1778670964">
          <w:marLeft w:val="0"/>
          <w:marRight w:val="0"/>
          <w:marTop w:val="0"/>
          <w:marBottom w:val="0"/>
          <w:divBdr>
            <w:top w:val="none" w:sz="0" w:space="0" w:color="auto"/>
            <w:left w:val="none" w:sz="0" w:space="0" w:color="auto"/>
            <w:bottom w:val="none" w:sz="0" w:space="0" w:color="auto"/>
            <w:right w:val="none" w:sz="0" w:space="0" w:color="auto"/>
          </w:divBdr>
          <w:divsChild>
            <w:div w:id="1057390100">
              <w:marLeft w:val="0"/>
              <w:marRight w:val="0"/>
              <w:marTop w:val="0"/>
              <w:marBottom w:val="0"/>
              <w:divBdr>
                <w:top w:val="none" w:sz="0" w:space="0" w:color="auto"/>
                <w:left w:val="none" w:sz="0" w:space="0" w:color="auto"/>
                <w:bottom w:val="none" w:sz="0" w:space="0" w:color="auto"/>
                <w:right w:val="none" w:sz="0" w:space="0" w:color="auto"/>
              </w:divBdr>
              <w:divsChild>
                <w:div w:id="1503206800">
                  <w:marLeft w:val="0"/>
                  <w:marRight w:val="0"/>
                  <w:marTop w:val="0"/>
                  <w:marBottom w:val="0"/>
                  <w:divBdr>
                    <w:top w:val="none" w:sz="0" w:space="0" w:color="auto"/>
                    <w:left w:val="none" w:sz="0" w:space="0" w:color="auto"/>
                    <w:bottom w:val="none" w:sz="0" w:space="0" w:color="auto"/>
                    <w:right w:val="none" w:sz="0" w:space="0" w:color="auto"/>
                  </w:divBdr>
                  <w:divsChild>
                    <w:div w:id="638727176">
                      <w:marLeft w:val="0"/>
                      <w:marRight w:val="0"/>
                      <w:marTop w:val="0"/>
                      <w:marBottom w:val="0"/>
                      <w:divBdr>
                        <w:top w:val="none" w:sz="0" w:space="0" w:color="auto"/>
                        <w:left w:val="none" w:sz="0" w:space="0" w:color="auto"/>
                        <w:bottom w:val="none" w:sz="0" w:space="0" w:color="auto"/>
                        <w:right w:val="none" w:sz="0" w:space="0" w:color="auto"/>
                      </w:divBdr>
                    </w:div>
                    <w:div w:id="1380780238">
                      <w:marLeft w:val="0"/>
                      <w:marRight w:val="0"/>
                      <w:marTop w:val="180"/>
                      <w:marBottom w:val="0"/>
                      <w:divBdr>
                        <w:top w:val="none" w:sz="0" w:space="0" w:color="auto"/>
                        <w:left w:val="none" w:sz="0" w:space="0" w:color="auto"/>
                        <w:bottom w:val="none" w:sz="0" w:space="0" w:color="auto"/>
                        <w:right w:val="none" w:sz="0" w:space="0" w:color="auto"/>
                      </w:divBdr>
                      <w:divsChild>
                        <w:div w:id="466700218">
                          <w:marLeft w:val="0"/>
                          <w:marRight w:val="0"/>
                          <w:marTop w:val="60"/>
                          <w:marBottom w:val="0"/>
                          <w:divBdr>
                            <w:top w:val="none" w:sz="0" w:space="0" w:color="auto"/>
                            <w:left w:val="none" w:sz="0" w:space="0" w:color="auto"/>
                            <w:bottom w:val="none" w:sz="0" w:space="0" w:color="auto"/>
                            <w:right w:val="none" w:sz="0" w:space="0" w:color="auto"/>
                          </w:divBdr>
                        </w:div>
                        <w:div w:id="1104110398">
                          <w:marLeft w:val="0"/>
                          <w:marRight w:val="0"/>
                          <w:marTop w:val="60"/>
                          <w:marBottom w:val="0"/>
                          <w:divBdr>
                            <w:top w:val="none" w:sz="0" w:space="0" w:color="auto"/>
                            <w:left w:val="none" w:sz="0" w:space="0" w:color="auto"/>
                            <w:bottom w:val="none" w:sz="0" w:space="0" w:color="auto"/>
                            <w:right w:val="none" w:sz="0" w:space="0" w:color="auto"/>
                          </w:divBdr>
                        </w:div>
                        <w:div w:id="161744418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802501749">
          <w:marLeft w:val="0"/>
          <w:marRight w:val="0"/>
          <w:marTop w:val="0"/>
          <w:marBottom w:val="0"/>
          <w:divBdr>
            <w:top w:val="none" w:sz="0" w:space="0" w:color="auto"/>
            <w:left w:val="none" w:sz="0" w:space="0" w:color="auto"/>
            <w:bottom w:val="none" w:sz="0" w:space="0" w:color="auto"/>
            <w:right w:val="none" w:sz="0" w:space="0" w:color="auto"/>
          </w:divBdr>
          <w:divsChild>
            <w:div w:id="1031615896">
              <w:marLeft w:val="0"/>
              <w:marRight w:val="0"/>
              <w:marTop w:val="0"/>
              <w:marBottom w:val="0"/>
              <w:divBdr>
                <w:top w:val="none" w:sz="0" w:space="0" w:color="auto"/>
                <w:left w:val="none" w:sz="0" w:space="0" w:color="auto"/>
                <w:bottom w:val="none" w:sz="0" w:space="0" w:color="auto"/>
                <w:right w:val="none" w:sz="0" w:space="0" w:color="auto"/>
              </w:divBdr>
              <w:divsChild>
                <w:div w:id="206601890">
                  <w:marLeft w:val="0"/>
                  <w:marRight w:val="0"/>
                  <w:marTop w:val="0"/>
                  <w:marBottom w:val="0"/>
                  <w:divBdr>
                    <w:top w:val="none" w:sz="0" w:space="0" w:color="auto"/>
                    <w:left w:val="none" w:sz="0" w:space="0" w:color="auto"/>
                    <w:bottom w:val="none" w:sz="0" w:space="0" w:color="auto"/>
                    <w:right w:val="none" w:sz="0" w:space="0" w:color="auto"/>
                  </w:divBdr>
                  <w:divsChild>
                    <w:div w:id="1408964957">
                      <w:marLeft w:val="0"/>
                      <w:marRight w:val="0"/>
                      <w:marTop w:val="0"/>
                      <w:marBottom w:val="0"/>
                      <w:divBdr>
                        <w:top w:val="none" w:sz="0" w:space="0" w:color="auto"/>
                        <w:left w:val="none" w:sz="0" w:space="0" w:color="auto"/>
                        <w:bottom w:val="none" w:sz="0" w:space="0" w:color="auto"/>
                        <w:right w:val="none" w:sz="0" w:space="0" w:color="auto"/>
                      </w:divBdr>
                    </w:div>
                    <w:div w:id="1905214659">
                      <w:marLeft w:val="0"/>
                      <w:marRight w:val="0"/>
                      <w:marTop w:val="180"/>
                      <w:marBottom w:val="0"/>
                      <w:divBdr>
                        <w:top w:val="none" w:sz="0" w:space="0" w:color="auto"/>
                        <w:left w:val="none" w:sz="0" w:space="0" w:color="auto"/>
                        <w:bottom w:val="none" w:sz="0" w:space="0" w:color="auto"/>
                        <w:right w:val="none" w:sz="0" w:space="0" w:color="auto"/>
                      </w:divBdr>
                      <w:divsChild>
                        <w:div w:id="292562875">
                          <w:marLeft w:val="0"/>
                          <w:marRight w:val="0"/>
                          <w:marTop w:val="60"/>
                          <w:marBottom w:val="0"/>
                          <w:divBdr>
                            <w:top w:val="none" w:sz="0" w:space="0" w:color="auto"/>
                            <w:left w:val="none" w:sz="0" w:space="0" w:color="auto"/>
                            <w:bottom w:val="none" w:sz="0" w:space="0" w:color="auto"/>
                            <w:right w:val="none" w:sz="0" w:space="0" w:color="auto"/>
                          </w:divBdr>
                        </w:div>
                        <w:div w:id="1015571521">
                          <w:marLeft w:val="0"/>
                          <w:marRight w:val="0"/>
                          <w:marTop w:val="60"/>
                          <w:marBottom w:val="0"/>
                          <w:divBdr>
                            <w:top w:val="none" w:sz="0" w:space="0" w:color="auto"/>
                            <w:left w:val="none" w:sz="0" w:space="0" w:color="auto"/>
                            <w:bottom w:val="none" w:sz="0" w:space="0" w:color="auto"/>
                            <w:right w:val="none" w:sz="0" w:space="0" w:color="auto"/>
                          </w:divBdr>
                        </w:div>
                        <w:div w:id="8457051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907616285">
          <w:marLeft w:val="0"/>
          <w:marRight w:val="0"/>
          <w:marTop w:val="0"/>
          <w:marBottom w:val="0"/>
          <w:divBdr>
            <w:top w:val="none" w:sz="0" w:space="0" w:color="auto"/>
            <w:left w:val="none" w:sz="0" w:space="0" w:color="auto"/>
            <w:bottom w:val="none" w:sz="0" w:space="0" w:color="auto"/>
            <w:right w:val="none" w:sz="0" w:space="0" w:color="auto"/>
          </w:divBdr>
          <w:divsChild>
            <w:div w:id="2119064754">
              <w:marLeft w:val="0"/>
              <w:marRight w:val="0"/>
              <w:marTop w:val="0"/>
              <w:marBottom w:val="0"/>
              <w:divBdr>
                <w:top w:val="none" w:sz="0" w:space="0" w:color="auto"/>
                <w:left w:val="none" w:sz="0" w:space="0" w:color="auto"/>
                <w:bottom w:val="none" w:sz="0" w:space="0" w:color="auto"/>
                <w:right w:val="none" w:sz="0" w:space="0" w:color="auto"/>
              </w:divBdr>
              <w:divsChild>
                <w:div w:id="1728845295">
                  <w:marLeft w:val="0"/>
                  <w:marRight w:val="0"/>
                  <w:marTop w:val="0"/>
                  <w:marBottom w:val="0"/>
                  <w:divBdr>
                    <w:top w:val="none" w:sz="0" w:space="0" w:color="auto"/>
                    <w:left w:val="none" w:sz="0" w:space="0" w:color="auto"/>
                    <w:bottom w:val="none" w:sz="0" w:space="0" w:color="auto"/>
                    <w:right w:val="none" w:sz="0" w:space="0" w:color="auto"/>
                  </w:divBdr>
                  <w:divsChild>
                    <w:div w:id="1497457498">
                      <w:marLeft w:val="0"/>
                      <w:marRight w:val="0"/>
                      <w:marTop w:val="0"/>
                      <w:marBottom w:val="0"/>
                      <w:divBdr>
                        <w:top w:val="none" w:sz="0" w:space="0" w:color="auto"/>
                        <w:left w:val="none" w:sz="0" w:space="0" w:color="auto"/>
                        <w:bottom w:val="none" w:sz="0" w:space="0" w:color="auto"/>
                        <w:right w:val="none" w:sz="0" w:space="0" w:color="auto"/>
                      </w:divBdr>
                    </w:div>
                    <w:div w:id="767845799">
                      <w:marLeft w:val="0"/>
                      <w:marRight w:val="0"/>
                      <w:marTop w:val="180"/>
                      <w:marBottom w:val="0"/>
                      <w:divBdr>
                        <w:top w:val="none" w:sz="0" w:space="0" w:color="auto"/>
                        <w:left w:val="none" w:sz="0" w:space="0" w:color="auto"/>
                        <w:bottom w:val="none" w:sz="0" w:space="0" w:color="auto"/>
                        <w:right w:val="none" w:sz="0" w:space="0" w:color="auto"/>
                      </w:divBdr>
                      <w:divsChild>
                        <w:div w:id="737823851">
                          <w:marLeft w:val="0"/>
                          <w:marRight w:val="0"/>
                          <w:marTop w:val="60"/>
                          <w:marBottom w:val="0"/>
                          <w:divBdr>
                            <w:top w:val="none" w:sz="0" w:space="0" w:color="auto"/>
                            <w:left w:val="none" w:sz="0" w:space="0" w:color="auto"/>
                            <w:bottom w:val="none" w:sz="0" w:space="0" w:color="auto"/>
                            <w:right w:val="none" w:sz="0" w:space="0" w:color="auto"/>
                          </w:divBdr>
                        </w:div>
                        <w:div w:id="992299421">
                          <w:marLeft w:val="0"/>
                          <w:marRight w:val="0"/>
                          <w:marTop w:val="60"/>
                          <w:marBottom w:val="0"/>
                          <w:divBdr>
                            <w:top w:val="none" w:sz="0" w:space="0" w:color="auto"/>
                            <w:left w:val="none" w:sz="0" w:space="0" w:color="auto"/>
                            <w:bottom w:val="none" w:sz="0" w:space="0" w:color="auto"/>
                            <w:right w:val="none" w:sz="0" w:space="0" w:color="auto"/>
                          </w:divBdr>
                        </w:div>
                        <w:div w:id="67838675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669989345">
          <w:marLeft w:val="0"/>
          <w:marRight w:val="0"/>
          <w:marTop w:val="0"/>
          <w:marBottom w:val="0"/>
          <w:divBdr>
            <w:top w:val="none" w:sz="0" w:space="0" w:color="auto"/>
            <w:left w:val="none" w:sz="0" w:space="0" w:color="auto"/>
            <w:bottom w:val="none" w:sz="0" w:space="0" w:color="auto"/>
            <w:right w:val="none" w:sz="0" w:space="0" w:color="auto"/>
          </w:divBdr>
          <w:divsChild>
            <w:div w:id="410591329">
              <w:marLeft w:val="0"/>
              <w:marRight w:val="0"/>
              <w:marTop w:val="0"/>
              <w:marBottom w:val="0"/>
              <w:divBdr>
                <w:top w:val="none" w:sz="0" w:space="0" w:color="auto"/>
                <w:left w:val="none" w:sz="0" w:space="0" w:color="auto"/>
                <w:bottom w:val="none" w:sz="0" w:space="0" w:color="auto"/>
                <w:right w:val="none" w:sz="0" w:space="0" w:color="auto"/>
              </w:divBdr>
              <w:divsChild>
                <w:div w:id="239607103">
                  <w:marLeft w:val="0"/>
                  <w:marRight w:val="0"/>
                  <w:marTop w:val="0"/>
                  <w:marBottom w:val="0"/>
                  <w:divBdr>
                    <w:top w:val="none" w:sz="0" w:space="0" w:color="auto"/>
                    <w:left w:val="none" w:sz="0" w:space="0" w:color="auto"/>
                    <w:bottom w:val="none" w:sz="0" w:space="0" w:color="auto"/>
                    <w:right w:val="none" w:sz="0" w:space="0" w:color="auto"/>
                  </w:divBdr>
                  <w:divsChild>
                    <w:div w:id="2010792322">
                      <w:marLeft w:val="0"/>
                      <w:marRight w:val="0"/>
                      <w:marTop w:val="0"/>
                      <w:marBottom w:val="0"/>
                      <w:divBdr>
                        <w:top w:val="none" w:sz="0" w:space="0" w:color="auto"/>
                        <w:left w:val="none" w:sz="0" w:space="0" w:color="auto"/>
                        <w:bottom w:val="none" w:sz="0" w:space="0" w:color="auto"/>
                        <w:right w:val="none" w:sz="0" w:space="0" w:color="auto"/>
                      </w:divBdr>
                    </w:div>
                    <w:div w:id="214587048">
                      <w:marLeft w:val="0"/>
                      <w:marRight w:val="0"/>
                      <w:marTop w:val="180"/>
                      <w:marBottom w:val="0"/>
                      <w:divBdr>
                        <w:top w:val="none" w:sz="0" w:space="0" w:color="auto"/>
                        <w:left w:val="none" w:sz="0" w:space="0" w:color="auto"/>
                        <w:bottom w:val="none" w:sz="0" w:space="0" w:color="auto"/>
                        <w:right w:val="none" w:sz="0" w:space="0" w:color="auto"/>
                      </w:divBdr>
                      <w:divsChild>
                        <w:div w:id="808740193">
                          <w:marLeft w:val="0"/>
                          <w:marRight w:val="0"/>
                          <w:marTop w:val="60"/>
                          <w:marBottom w:val="0"/>
                          <w:divBdr>
                            <w:top w:val="none" w:sz="0" w:space="0" w:color="auto"/>
                            <w:left w:val="none" w:sz="0" w:space="0" w:color="auto"/>
                            <w:bottom w:val="none" w:sz="0" w:space="0" w:color="auto"/>
                            <w:right w:val="none" w:sz="0" w:space="0" w:color="auto"/>
                          </w:divBdr>
                        </w:div>
                        <w:div w:id="1930652531">
                          <w:marLeft w:val="0"/>
                          <w:marRight w:val="0"/>
                          <w:marTop w:val="60"/>
                          <w:marBottom w:val="0"/>
                          <w:divBdr>
                            <w:top w:val="none" w:sz="0" w:space="0" w:color="auto"/>
                            <w:left w:val="none" w:sz="0" w:space="0" w:color="auto"/>
                            <w:bottom w:val="none" w:sz="0" w:space="0" w:color="auto"/>
                            <w:right w:val="none" w:sz="0" w:space="0" w:color="auto"/>
                          </w:divBdr>
                        </w:div>
                        <w:div w:id="88160161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772815215">
          <w:marLeft w:val="0"/>
          <w:marRight w:val="0"/>
          <w:marTop w:val="0"/>
          <w:marBottom w:val="0"/>
          <w:divBdr>
            <w:top w:val="none" w:sz="0" w:space="0" w:color="auto"/>
            <w:left w:val="none" w:sz="0" w:space="0" w:color="auto"/>
            <w:bottom w:val="none" w:sz="0" w:space="0" w:color="auto"/>
            <w:right w:val="none" w:sz="0" w:space="0" w:color="auto"/>
          </w:divBdr>
          <w:divsChild>
            <w:div w:id="674653157">
              <w:marLeft w:val="0"/>
              <w:marRight w:val="0"/>
              <w:marTop w:val="0"/>
              <w:marBottom w:val="0"/>
              <w:divBdr>
                <w:top w:val="none" w:sz="0" w:space="0" w:color="auto"/>
                <w:left w:val="none" w:sz="0" w:space="0" w:color="auto"/>
                <w:bottom w:val="none" w:sz="0" w:space="0" w:color="auto"/>
                <w:right w:val="none" w:sz="0" w:space="0" w:color="auto"/>
              </w:divBdr>
              <w:divsChild>
                <w:div w:id="1623732882">
                  <w:marLeft w:val="0"/>
                  <w:marRight w:val="0"/>
                  <w:marTop w:val="0"/>
                  <w:marBottom w:val="0"/>
                  <w:divBdr>
                    <w:top w:val="none" w:sz="0" w:space="0" w:color="auto"/>
                    <w:left w:val="none" w:sz="0" w:space="0" w:color="auto"/>
                    <w:bottom w:val="none" w:sz="0" w:space="0" w:color="auto"/>
                    <w:right w:val="none" w:sz="0" w:space="0" w:color="auto"/>
                  </w:divBdr>
                  <w:divsChild>
                    <w:div w:id="864750226">
                      <w:marLeft w:val="0"/>
                      <w:marRight w:val="0"/>
                      <w:marTop w:val="0"/>
                      <w:marBottom w:val="0"/>
                      <w:divBdr>
                        <w:top w:val="none" w:sz="0" w:space="0" w:color="auto"/>
                        <w:left w:val="none" w:sz="0" w:space="0" w:color="auto"/>
                        <w:bottom w:val="none" w:sz="0" w:space="0" w:color="auto"/>
                        <w:right w:val="none" w:sz="0" w:space="0" w:color="auto"/>
                      </w:divBdr>
                    </w:div>
                    <w:div w:id="270474671">
                      <w:marLeft w:val="0"/>
                      <w:marRight w:val="0"/>
                      <w:marTop w:val="180"/>
                      <w:marBottom w:val="0"/>
                      <w:divBdr>
                        <w:top w:val="none" w:sz="0" w:space="0" w:color="auto"/>
                        <w:left w:val="none" w:sz="0" w:space="0" w:color="auto"/>
                        <w:bottom w:val="none" w:sz="0" w:space="0" w:color="auto"/>
                        <w:right w:val="none" w:sz="0" w:space="0" w:color="auto"/>
                      </w:divBdr>
                      <w:divsChild>
                        <w:div w:id="1487948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382752">
      <w:bodyDiv w:val="1"/>
      <w:marLeft w:val="0"/>
      <w:marRight w:val="0"/>
      <w:marTop w:val="0"/>
      <w:marBottom w:val="0"/>
      <w:divBdr>
        <w:top w:val="none" w:sz="0" w:space="0" w:color="auto"/>
        <w:left w:val="none" w:sz="0" w:space="0" w:color="auto"/>
        <w:bottom w:val="none" w:sz="0" w:space="0" w:color="auto"/>
        <w:right w:val="none" w:sz="0" w:space="0" w:color="auto"/>
      </w:divBdr>
      <w:divsChild>
        <w:div w:id="1350448203">
          <w:marLeft w:val="0"/>
          <w:marRight w:val="0"/>
          <w:marTop w:val="0"/>
          <w:marBottom w:val="0"/>
          <w:divBdr>
            <w:top w:val="none" w:sz="0" w:space="0" w:color="auto"/>
            <w:left w:val="none" w:sz="0" w:space="0" w:color="auto"/>
            <w:bottom w:val="none" w:sz="0" w:space="0" w:color="auto"/>
            <w:right w:val="none" w:sz="0" w:space="0" w:color="auto"/>
          </w:divBdr>
          <w:divsChild>
            <w:div w:id="1551961821">
              <w:marLeft w:val="0"/>
              <w:marRight w:val="0"/>
              <w:marTop w:val="0"/>
              <w:marBottom w:val="0"/>
              <w:divBdr>
                <w:top w:val="none" w:sz="0" w:space="0" w:color="auto"/>
                <w:left w:val="none" w:sz="0" w:space="0" w:color="auto"/>
                <w:bottom w:val="none" w:sz="0" w:space="0" w:color="auto"/>
                <w:right w:val="none" w:sz="0" w:space="0" w:color="auto"/>
              </w:divBdr>
              <w:divsChild>
                <w:div w:id="1114136201">
                  <w:marLeft w:val="0"/>
                  <w:marRight w:val="0"/>
                  <w:marTop w:val="0"/>
                  <w:marBottom w:val="0"/>
                  <w:divBdr>
                    <w:top w:val="none" w:sz="0" w:space="0" w:color="auto"/>
                    <w:left w:val="none" w:sz="0" w:space="0" w:color="auto"/>
                    <w:bottom w:val="none" w:sz="0" w:space="0" w:color="auto"/>
                    <w:right w:val="none" w:sz="0" w:space="0" w:color="auto"/>
                  </w:divBdr>
                  <w:divsChild>
                    <w:div w:id="864245812">
                      <w:marLeft w:val="0"/>
                      <w:marRight w:val="0"/>
                      <w:marTop w:val="0"/>
                      <w:marBottom w:val="0"/>
                      <w:divBdr>
                        <w:top w:val="none" w:sz="0" w:space="0" w:color="auto"/>
                        <w:left w:val="none" w:sz="0" w:space="0" w:color="auto"/>
                        <w:bottom w:val="none" w:sz="0" w:space="0" w:color="auto"/>
                        <w:right w:val="none" w:sz="0" w:space="0" w:color="auto"/>
                      </w:divBdr>
                    </w:div>
                    <w:div w:id="1568298959">
                      <w:marLeft w:val="0"/>
                      <w:marRight w:val="0"/>
                      <w:marTop w:val="180"/>
                      <w:marBottom w:val="0"/>
                      <w:divBdr>
                        <w:top w:val="none" w:sz="0" w:space="0" w:color="auto"/>
                        <w:left w:val="none" w:sz="0" w:space="0" w:color="auto"/>
                        <w:bottom w:val="none" w:sz="0" w:space="0" w:color="auto"/>
                        <w:right w:val="none" w:sz="0" w:space="0" w:color="auto"/>
                      </w:divBdr>
                      <w:divsChild>
                        <w:div w:id="1531067596">
                          <w:marLeft w:val="0"/>
                          <w:marRight w:val="0"/>
                          <w:marTop w:val="60"/>
                          <w:marBottom w:val="0"/>
                          <w:divBdr>
                            <w:top w:val="none" w:sz="0" w:space="0" w:color="auto"/>
                            <w:left w:val="none" w:sz="0" w:space="0" w:color="auto"/>
                            <w:bottom w:val="none" w:sz="0" w:space="0" w:color="auto"/>
                            <w:right w:val="none" w:sz="0" w:space="0" w:color="auto"/>
                          </w:divBdr>
                        </w:div>
                        <w:div w:id="1722167015">
                          <w:marLeft w:val="0"/>
                          <w:marRight w:val="0"/>
                          <w:marTop w:val="60"/>
                          <w:marBottom w:val="0"/>
                          <w:divBdr>
                            <w:top w:val="none" w:sz="0" w:space="0" w:color="auto"/>
                            <w:left w:val="none" w:sz="0" w:space="0" w:color="auto"/>
                            <w:bottom w:val="none" w:sz="0" w:space="0" w:color="auto"/>
                            <w:right w:val="none" w:sz="0" w:space="0" w:color="auto"/>
                          </w:divBdr>
                        </w:div>
                        <w:div w:id="148550787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630895762">
          <w:marLeft w:val="0"/>
          <w:marRight w:val="0"/>
          <w:marTop w:val="0"/>
          <w:marBottom w:val="0"/>
          <w:divBdr>
            <w:top w:val="none" w:sz="0" w:space="0" w:color="auto"/>
            <w:left w:val="none" w:sz="0" w:space="0" w:color="auto"/>
            <w:bottom w:val="none" w:sz="0" w:space="0" w:color="auto"/>
            <w:right w:val="none" w:sz="0" w:space="0" w:color="auto"/>
          </w:divBdr>
          <w:divsChild>
            <w:div w:id="1102149126">
              <w:marLeft w:val="0"/>
              <w:marRight w:val="0"/>
              <w:marTop w:val="0"/>
              <w:marBottom w:val="0"/>
              <w:divBdr>
                <w:top w:val="none" w:sz="0" w:space="0" w:color="auto"/>
                <w:left w:val="none" w:sz="0" w:space="0" w:color="auto"/>
                <w:bottom w:val="none" w:sz="0" w:space="0" w:color="auto"/>
                <w:right w:val="none" w:sz="0" w:space="0" w:color="auto"/>
              </w:divBdr>
              <w:divsChild>
                <w:div w:id="1312372955">
                  <w:marLeft w:val="0"/>
                  <w:marRight w:val="0"/>
                  <w:marTop w:val="0"/>
                  <w:marBottom w:val="0"/>
                  <w:divBdr>
                    <w:top w:val="none" w:sz="0" w:space="0" w:color="auto"/>
                    <w:left w:val="none" w:sz="0" w:space="0" w:color="auto"/>
                    <w:bottom w:val="none" w:sz="0" w:space="0" w:color="auto"/>
                    <w:right w:val="none" w:sz="0" w:space="0" w:color="auto"/>
                  </w:divBdr>
                  <w:divsChild>
                    <w:div w:id="1648893278">
                      <w:marLeft w:val="0"/>
                      <w:marRight w:val="0"/>
                      <w:marTop w:val="0"/>
                      <w:marBottom w:val="0"/>
                      <w:divBdr>
                        <w:top w:val="none" w:sz="0" w:space="0" w:color="auto"/>
                        <w:left w:val="none" w:sz="0" w:space="0" w:color="auto"/>
                        <w:bottom w:val="none" w:sz="0" w:space="0" w:color="auto"/>
                        <w:right w:val="none" w:sz="0" w:space="0" w:color="auto"/>
                      </w:divBdr>
                    </w:div>
                    <w:div w:id="1737506582">
                      <w:marLeft w:val="0"/>
                      <w:marRight w:val="0"/>
                      <w:marTop w:val="180"/>
                      <w:marBottom w:val="0"/>
                      <w:divBdr>
                        <w:top w:val="none" w:sz="0" w:space="0" w:color="auto"/>
                        <w:left w:val="none" w:sz="0" w:space="0" w:color="auto"/>
                        <w:bottom w:val="none" w:sz="0" w:space="0" w:color="auto"/>
                        <w:right w:val="none" w:sz="0" w:space="0" w:color="auto"/>
                      </w:divBdr>
                      <w:divsChild>
                        <w:div w:id="608196403">
                          <w:marLeft w:val="0"/>
                          <w:marRight w:val="0"/>
                          <w:marTop w:val="60"/>
                          <w:marBottom w:val="0"/>
                          <w:divBdr>
                            <w:top w:val="none" w:sz="0" w:space="0" w:color="auto"/>
                            <w:left w:val="none" w:sz="0" w:space="0" w:color="auto"/>
                            <w:bottom w:val="none" w:sz="0" w:space="0" w:color="auto"/>
                            <w:right w:val="none" w:sz="0" w:space="0" w:color="auto"/>
                          </w:divBdr>
                        </w:div>
                        <w:div w:id="1580938981">
                          <w:marLeft w:val="0"/>
                          <w:marRight w:val="0"/>
                          <w:marTop w:val="60"/>
                          <w:marBottom w:val="0"/>
                          <w:divBdr>
                            <w:top w:val="none" w:sz="0" w:space="0" w:color="auto"/>
                            <w:left w:val="none" w:sz="0" w:space="0" w:color="auto"/>
                            <w:bottom w:val="none" w:sz="0" w:space="0" w:color="auto"/>
                            <w:right w:val="none" w:sz="0" w:space="0" w:color="auto"/>
                          </w:divBdr>
                        </w:div>
                        <w:div w:id="21308021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161771590">
          <w:marLeft w:val="0"/>
          <w:marRight w:val="0"/>
          <w:marTop w:val="0"/>
          <w:marBottom w:val="0"/>
          <w:divBdr>
            <w:top w:val="none" w:sz="0" w:space="0" w:color="auto"/>
            <w:left w:val="none" w:sz="0" w:space="0" w:color="auto"/>
            <w:bottom w:val="none" w:sz="0" w:space="0" w:color="auto"/>
            <w:right w:val="none" w:sz="0" w:space="0" w:color="auto"/>
          </w:divBdr>
          <w:divsChild>
            <w:div w:id="474569509">
              <w:marLeft w:val="0"/>
              <w:marRight w:val="0"/>
              <w:marTop w:val="0"/>
              <w:marBottom w:val="0"/>
              <w:divBdr>
                <w:top w:val="none" w:sz="0" w:space="0" w:color="auto"/>
                <w:left w:val="none" w:sz="0" w:space="0" w:color="auto"/>
                <w:bottom w:val="none" w:sz="0" w:space="0" w:color="auto"/>
                <w:right w:val="none" w:sz="0" w:space="0" w:color="auto"/>
              </w:divBdr>
              <w:divsChild>
                <w:div w:id="1228498645">
                  <w:marLeft w:val="0"/>
                  <w:marRight w:val="0"/>
                  <w:marTop w:val="0"/>
                  <w:marBottom w:val="0"/>
                  <w:divBdr>
                    <w:top w:val="none" w:sz="0" w:space="0" w:color="auto"/>
                    <w:left w:val="none" w:sz="0" w:space="0" w:color="auto"/>
                    <w:bottom w:val="none" w:sz="0" w:space="0" w:color="auto"/>
                    <w:right w:val="none" w:sz="0" w:space="0" w:color="auto"/>
                  </w:divBdr>
                  <w:divsChild>
                    <w:div w:id="1926497047">
                      <w:marLeft w:val="0"/>
                      <w:marRight w:val="0"/>
                      <w:marTop w:val="0"/>
                      <w:marBottom w:val="0"/>
                      <w:divBdr>
                        <w:top w:val="none" w:sz="0" w:space="0" w:color="auto"/>
                        <w:left w:val="none" w:sz="0" w:space="0" w:color="auto"/>
                        <w:bottom w:val="none" w:sz="0" w:space="0" w:color="auto"/>
                        <w:right w:val="none" w:sz="0" w:space="0" w:color="auto"/>
                      </w:divBdr>
                    </w:div>
                    <w:div w:id="1751198364">
                      <w:marLeft w:val="0"/>
                      <w:marRight w:val="0"/>
                      <w:marTop w:val="180"/>
                      <w:marBottom w:val="0"/>
                      <w:divBdr>
                        <w:top w:val="none" w:sz="0" w:space="0" w:color="auto"/>
                        <w:left w:val="none" w:sz="0" w:space="0" w:color="auto"/>
                        <w:bottom w:val="none" w:sz="0" w:space="0" w:color="auto"/>
                        <w:right w:val="none" w:sz="0" w:space="0" w:color="auto"/>
                      </w:divBdr>
                      <w:divsChild>
                        <w:div w:id="402726522">
                          <w:marLeft w:val="0"/>
                          <w:marRight w:val="0"/>
                          <w:marTop w:val="60"/>
                          <w:marBottom w:val="0"/>
                          <w:divBdr>
                            <w:top w:val="none" w:sz="0" w:space="0" w:color="auto"/>
                            <w:left w:val="none" w:sz="0" w:space="0" w:color="auto"/>
                            <w:bottom w:val="none" w:sz="0" w:space="0" w:color="auto"/>
                            <w:right w:val="none" w:sz="0" w:space="0" w:color="auto"/>
                          </w:divBdr>
                        </w:div>
                        <w:div w:id="1218396593">
                          <w:marLeft w:val="0"/>
                          <w:marRight w:val="0"/>
                          <w:marTop w:val="60"/>
                          <w:marBottom w:val="0"/>
                          <w:divBdr>
                            <w:top w:val="none" w:sz="0" w:space="0" w:color="auto"/>
                            <w:left w:val="none" w:sz="0" w:space="0" w:color="auto"/>
                            <w:bottom w:val="none" w:sz="0" w:space="0" w:color="auto"/>
                            <w:right w:val="none" w:sz="0" w:space="0" w:color="auto"/>
                          </w:divBdr>
                        </w:div>
                        <w:div w:id="133549559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539390609">
          <w:marLeft w:val="0"/>
          <w:marRight w:val="0"/>
          <w:marTop w:val="0"/>
          <w:marBottom w:val="0"/>
          <w:divBdr>
            <w:top w:val="none" w:sz="0" w:space="0" w:color="auto"/>
            <w:left w:val="none" w:sz="0" w:space="0" w:color="auto"/>
            <w:bottom w:val="none" w:sz="0" w:space="0" w:color="auto"/>
            <w:right w:val="none" w:sz="0" w:space="0" w:color="auto"/>
          </w:divBdr>
          <w:divsChild>
            <w:div w:id="647588280">
              <w:marLeft w:val="0"/>
              <w:marRight w:val="0"/>
              <w:marTop w:val="0"/>
              <w:marBottom w:val="0"/>
              <w:divBdr>
                <w:top w:val="none" w:sz="0" w:space="0" w:color="auto"/>
                <w:left w:val="none" w:sz="0" w:space="0" w:color="auto"/>
                <w:bottom w:val="none" w:sz="0" w:space="0" w:color="auto"/>
                <w:right w:val="none" w:sz="0" w:space="0" w:color="auto"/>
              </w:divBdr>
              <w:divsChild>
                <w:div w:id="606425555">
                  <w:marLeft w:val="0"/>
                  <w:marRight w:val="0"/>
                  <w:marTop w:val="0"/>
                  <w:marBottom w:val="0"/>
                  <w:divBdr>
                    <w:top w:val="none" w:sz="0" w:space="0" w:color="auto"/>
                    <w:left w:val="none" w:sz="0" w:space="0" w:color="auto"/>
                    <w:bottom w:val="none" w:sz="0" w:space="0" w:color="auto"/>
                    <w:right w:val="none" w:sz="0" w:space="0" w:color="auto"/>
                  </w:divBdr>
                  <w:divsChild>
                    <w:div w:id="258949820">
                      <w:marLeft w:val="0"/>
                      <w:marRight w:val="0"/>
                      <w:marTop w:val="0"/>
                      <w:marBottom w:val="0"/>
                      <w:divBdr>
                        <w:top w:val="none" w:sz="0" w:space="0" w:color="auto"/>
                        <w:left w:val="none" w:sz="0" w:space="0" w:color="auto"/>
                        <w:bottom w:val="none" w:sz="0" w:space="0" w:color="auto"/>
                        <w:right w:val="none" w:sz="0" w:space="0" w:color="auto"/>
                      </w:divBdr>
                    </w:div>
                    <w:div w:id="1378775459">
                      <w:marLeft w:val="0"/>
                      <w:marRight w:val="0"/>
                      <w:marTop w:val="180"/>
                      <w:marBottom w:val="0"/>
                      <w:divBdr>
                        <w:top w:val="none" w:sz="0" w:space="0" w:color="auto"/>
                        <w:left w:val="none" w:sz="0" w:space="0" w:color="auto"/>
                        <w:bottom w:val="none" w:sz="0" w:space="0" w:color="auto"/>
                        <w:right w:val="none" w:sz="0" w:space="0" w:color="auto"/>
                      </w:divBdr>
                      <w:divsChild>
                        <w:div w:id="1376586230">
                          <w:marLeft w:val="0"/>
                          <w:marRight w:val="0"/>
                          <w:marTop w:val="60"/>
                          <w:marBottom w:val="0"/>
                          <w:divBdr>
                            <w:top w:val="none" w:sz="0" w:space="0" w:color="auto"/>
                            <w:left w:val="none" w:sz="0" w:space="0" w:color="auto"/>
                            <w:bottom w:val="none" w:sz="0" w:space="0" w:color="auto"/>
                            <w:right w:val="none" w:sz="0" w:space="0" w:color="auto"/>
                          </w:divBdr>
                        </w:div>
                        <w:div w:id="868835594">
                          <w:marLeft w:val="0"/>
                          <w:marRight w:val="0"/>
                          <w:marTop w:val="60"/>
                          <w:marBottom w:val="0"/>
                          <w:divBdr>
                            <w:top w:val="none" w:sz="0" w:space="0" w:color="auto"/>
                            <w:left w:val="none" w:sz="0" w:space="0" w:color="auto"/>
                            <w:bottom w:val="none" w:sz="0" w:space="0" w:color="auto"/>
                            <w:right w:val="none" w:sz="0" w:space="0" w:color="auto"/>
                          </w:divBdr>
                        </w:div>
                        <w:div w:id="145752718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244872062">
          <w:marLeft w:val="0"/>
          <w:marRight w:val="0"/>
          <w:marTop w:val="0"/>
          <w:marBottom w:val="0"/>
          <w:divBdr>
            <w:top w:val="none" w:sz="0" w:space="0" w:color="auto"/>
            <w:left w:val="none" w:sz="0" w:space="0" w:color="auto"/>
            <w:bottom w:val="none" w:sz="0" w:space="0" w:color="auto"/>
            <w:right w:val="none" w:sz="0" w:space="0" w:color="auto"/>
          </w:divBdr>
          <w:divsChild>
            <w:div w:id="481196539">
              <w:marLeft w:val="0"/>
              <w:marRight w:val="0"/>
              <w:marTop w:val="0"/>
              <w:marBottom w:val="0"/>
              <w:divBdr>
                <w:top w:val="none" w:sz="0" w:space="0" w:color="auto"/>
                <w:left w:val="none" w:sz="0" w:space="0" w:color="auto"/>
                <w:bottom w:val="none" w:sz="0" w:space="0" w:color="auto"/>
                <w:right w:val="none" w:sz="0" w:space="0" w:color="auto"/>
              </w:divBdr>
              <w:divsChild>
                <w:div w:id="1075936335">
                  <w:marLeft w:val="0"/>
                  <w:marRight w:val="0"/>
                  <w:marTop w:val="0"/>
                  <w:marBottom w:val="0"/>
                  <w:divBdr>
                    <w:top w:val="none" w:sz="0" w:space="0" w:color="auto"/>
                    <w:left w:val="none" w:sz="0" w:space="0" w:color="auto"/>
                    <w:bottom w:val="none" w:sz="0" w:space="0" w:color="auto"/>
                    <w:right w:val="none" w:sz="0" w:space="0" w:color="auto"/>
                  </w:divBdr>
                  <w:divsChild>
                    <w:div w:id="1981883850">
                      <w:marLeft w:val="0"/>
                      <w:marRight w:val="0"/>
                      <w:marTop w:val="0"/>
                      <w:marBottom w:val="0"/>
                      <w:divBdr>
                        <w:top w:val="none" w:sz="0" w:space="0" w:color="auto"/>
                        <w:left w:val="none" w:sz="0" w:space="0" w:color="auto"/>
                        <w:bottom w:val="none" w:sz="0" w:space="0" w:color="auto"/>
                        <w:right w:val="none" w:sz="0" w:space="0" w:color="auto"/>
                      </w:divBdr>
                    </w:div>
                    <w:div w:id="1994790418">
                      <w:marLeft w:val="0"/>
                      <w:marRight w:val="0"/>
                      <w:marTop w:val="180"/>
                      <w:marBottom w:val="0"/>
                      <w:divBdr>
                        <w:top w:val="none" w:sz="0" w:space="0" w:color="auto"/>
                        <w:left w:val="none" w:sz="0" w:space="0" w:color="auto"/>
                        <w:bottom w:val="none" w:sz="0" w:space="0" w:color="auto"/>
                        <w:right w:val="none" w:sz="0" w:space="0" w:color="auto"/>
                      </w:divBdr>
                      <w:divsChild>
                        <w:div w:id="991756344">
                          <w:marLeft w:val="0"/>
                          <w:marRight w:val="0"/>
                          <w:marTop w:val="60"/>
                          <w:marBottom w:val="0"/>
                          <w:divBdr>
                            <w:top w:val="none" w:sz="0" w:space="0" w:color="auto"/>
                            <w:left w:val="none" w:sz="0" w:space="0" w:color="auto"/>
                            <w:bottom w:val="none" w:sz="0" w:space="0" w:color="auto"/>
                            <w:right w:val="none" w:sz="0" w:space="0" w:color="auto"/>
                          </w:divBdr>
                        </w:div>
                        <w:div w:id="2051608601">
                          <w:marLeft w:val="0"/>
                          <w:marRight w:val="0"/>
                          <w:marTop w:val="60"/>
                          <w:marBottom w:val="0"/>
                          <w:divBdr>
                            <w:top w:val="none" w:sz="0" w:space="0" w:color="auto"/>
                            <w:left w:val="none" w:sz="0" w:space="0" w:color="auto"/>
                            <w:bottom w:val="none" w:sz="0" w:space="0" w:color="auto"/>
                            <w:right w:val="none" w:sz="0" w:space="0" w:color="auto"/>
                          </w:divBdr>
                        </w:div>
                        <w:div w:id="66921351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845437940">
          <w:marLeft w:val="0"/>
          <w:marRight w:val="0"/>
          <w:marTop w:val="0"/>
          <w:marBottom w:val="0"/>
          <w:divBdr>
            <w:top w:val="none" w:sz="0" w:space="0" w:color="auto"/>
            <w:left w:val="none" w:sz="0" w:space="0" w:color="auto"/>
            <w:bottom w:val="none" w:sz="0" w:space="0" w:color="auto"/>
            <w:right w:val="none" w:sz="0" w:space="0" w:color="auto"/>
          </w:divBdr>
          <w:divsChild>
            <w:div w:id="311326636">
              <w:marLeft w:val="0"/>
              <w:marRight w:val="0"/>
              <w:marTop w:val="0"/>
              <w:marBottom w:val="0"/>
              <w:divBdr>
                <w:top w:val="none" w:sz="0" w:space="0" w:color="auto"/>
                <w:left w:val="none" w:sz="0" w:space="0" w:color="auto"/>
                <w:bottom w:val="none" w:sz="0" w:space="0" w:color="auto"/>
                <w:right w:val="none" w:sz="0" w:space="0" w:color="auto"/>
              </w:divBdr>
              <w:divsChild>
                <w:div w:id="1562474725">
                  <w:marLeft w:val="0"/>
                  <w:marRight w:val="0"/>
                  <w:marTop w:val="0"/>
                  <w:marBottom w:val="0"/>
                  <w:divBdr>
                    <w:top w:val="none" w:sz="0" w:space="0" w:color="auto"/>
                    <w:left w:val="none" w:sz="0" w:space="0" w:color="auto"/>
                    <w:bottom w:val="none" w:sz="0" w:space="0" w:color="auto"/>
                    <w:right w:val="none" w:sz="0" w:space="0" w:color="auto"/>
                  </w:divBdr>
                  <w:divsChild>
                    <w:div w:id="1390693145">
                      <w:marLeft w:val="0"/>
                      <w:marRight w:val="0"/>
                      <w:marTop w:val="0"/>
                      <w:marBottom w:val="0"/>
                      <w:divBdr>
                        <w:top w:val="none" w:sz="0" w:space="0" w:color="auto"/>
                        <w:left w:val="none" w:sz="0" w:space="0" w:color="auto"/>
                        <w:bottom w:val="none" w:sz="0" w:space="0" w:color="auto"/>
                        <w:right w:val="none" w:sz="0" w:space="0" w:color="auto"/>
                      </w:divBdr>
                    </w:div>
                    <w:div w:id="2145655142">
                      <w:marLeft w:val="0"/>
                      <w:marRight w:val="0"/>
                      <w:marTop w:val="180"/>
                      <w:marBottom w:val="0"/>
                      <w:divBdr>
                        <w:top w:val="none" w:sz="0" w:space="0" w:color="auto"/>
                        <w:left w:val="none" w:sz="0" w:space="0" w:color="auto"/>
                        <w:bottom w:val="none" w:sz="0" w:space="0" w:color="auto"/>
                        <w:right w:val="none" w:sz="0" w:space="0" w:color="auto"/>
                      </w:divBdr>
                      <w:divsChild>
                        <w:div w:id="694497983">
                          <w:marLeft w:val="0"/>
                          <w:marRight w:val="0"/>
                          <w:marTop w:val="60"/>
                          <w:marBottom w:val="0"/>
                          <w:divBdr>
                            <w:top w:val="none" w:sz="0" w:space="0" w:color="auto"/>
                            <w:left w:val="none" w:sz="0" w:space="0" w:color="auto"/>
                            <w:bottom w:val="none" w:sz="0" w:space="0" w:color="auto"/>
                            <w:right w:val="none" w:sz="0" w:space="0" w:color="auto"/>
                          </w:divBdr>
                        </w:div>
                        <w:div w:id="1893729219">
                          <w:marLeft w:val="0"/>
                          <w:marRight w:val="0"/>
                          <w:marTop w:val="60"/>
                          <w:marBottom w:val="0"/>
                          <w:divBdr>
                            <w:top w:val="none" w:sz="0" w:space="0" w:color="auto"/>
                            <w:left w:val="none" w:sz="0" w:space="0" w:color="auto"/>
                            <w:bottom w:val="none" w:sz="0" w:space="0" w:color="auto"/>
                            <w:right w:val="none" w:sz="0" w:space="0" w:color="auto"/>
                          </w:divBdr>
                        </w:div>
                        <w:div w:id="164785699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218467778">
          <w:marLeft w:val="0"/>
          <w:marRight w:val="0"/>
          <w:marTop w:val="0"/>
          <w:marBottom w:val="0"/>
          <w:divBdr>
            <w:top w:val="none" w:sz="0" w:space="0" w:color="auto"/>
            <w:left w:val="none" w:sz="0" w:space="0" w:color="auto"/>
            <w:bottom w:val="none" w:sz="0" w:space="0" w:color="auto"/>
            <w:right w:val="none" w:sz="0" w:space="0" w:color="auto"/>
          </w:divBdr>
          <w:divsChild>
            <w:div w:id="2003195201">
              <w:marLeft w:val="0"/>
              <w:marRight w:val="0"/>
              <w:marTop w:val="0"/>
              <w:marBottom w:val="0"/>
              <w:divBdr>
                <w:top w:val="none" w:sz="0" w:space="0" w:color="auto"/>
                <w:left w:val="none" w:sz="0" w:space="0" w:color="auto"/>
                <w:bottom w:val="none" w:sz="0" w:space="0" w:color="auto"/>
                <w:right w:val="none" w:sz="0" w:space="0" w:color="auto"/>
              </w:divBdr>
              <w:divsChild>
                <w:div w:id="628243657">
                  <w:marLeft w:val="0"/>
                  <w:marRight w:val="0"/>
                  <w:marTop w:val="0"/>
                  <w:marBottom w:val="0"/>
                  <w:divBdr>
                    <w:top w:val="none" w:sz="0" w:space="0" w:color="auto"/>
                    <w:left w:val="none" w:sz="0" w:space="0" w:color="auto"/>
                    <w:bottom w:val="none" w:sz="0" w:space="0" w:color="auto"/>
                    <w:right w:val="none" w:sz="0" w:space="0" w:color="auto"/>
                  </w:divBdr>
                  <w:divsChild>
                    <w:div w:id="639381336">
                      <w:marLeft w:val="0"/>
                      <w:marRight w:val="0"/>
                      <w:marTop w:val="0"/>
                      <w:marBottom w:val="0"/>
                      <w:divBdr>
                        <w:top w:val="none" w:sz="0" w:space="0" w:color="auto"/>
                        <w:left w:val="none" w:sz="0" w:space="0" w:color="auto"/>
                        <w:bottom w:val="none" w:sz="0" w:space="0" w:color="auto"/>
                        <w:right w:val="none" w:sz="0" w:space="0" w:color="auto"/>
                      </w:divBdr>
                    </w:div>
                    <w:div w:id="659115341">
                      <w:marLeft w:val="0"/>
                      <w:marRight w:val="0"/>
                      <w:marTop w:val="180"/>
                      <w:marBottom w:val="0"/>
                      <w:divBdr>
                        <w:top w:val="none" w:sz="0" w:space="0" w:color="auto"/>
                        <w:left w:val="none" w:sz="0" w:space="0" w:color="auto"/>
                        <w:bottom w:val="none" w:sz="0" w:space="0" w:color="auto"/>
                        <w:right w:val="none" w:sz="0" w:space="0" w:color="auto"/>
                      </w:divBdr>
                      <w:divsChild>
                        <w:div w:id="1655178664">
                          <w:marLeft w:val="0"/>
                          <w:marRight w:val="0"/>
                          <w:marTop w:val="60"/>
                          <w:marBottom w:val="0"/>
                          <w:divBdr>
                            <w:top w:val="none" w:sz="0" w:space="0" w:color="auto"/>
                            <w:left w:val="none" w:sz="0" w:space="0" w:color="auto"/>
                            <w:bottom w:val="none" w:sz="0" w:space="0" w:color="auto"/>
                            <w:right w:val="none" w:sz="0" w:space="0" w:color="auto"/>
                          </w:divBdr>
                        </w:div>
                        <w:div w:id="102847984">
                          <w:marLeft w:val="0"/>
                          <w:marRight w:val="0"/>
                          <w:marTop w:val="60"/>
                          <w:marBottom w:val="0"/>
                          <w:divBdr>
                            <w:top w:val="none" w:sz="0" w:space="0" w:color="auto"/>
                            <w:left w:val="none" w:sz="0" w:space="0" w:color="auto"/>
                            <w:bottom w:val="none" w:sz="0" w:space="0" w:color="auto"/>
                            <w:right w:val="none" w:sz="0" w:space="0" w:color="auto"/>
                          </w:divBdr>
                        </w:div>
                        <w:div w:id="188956297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ons.gov.uk/peoplepopulationandcommunity/housing/articles/ukhousebuildingdata/januarytomarch202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v.uk/government/statistics/dwelling-stock-estimates-in-england-2023/dwelling-stock-estimates-england-31-march-2023"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484</Words>
  <Characters>2760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Newman</dc:creator>
  <cp:keywords/>
  <dc:description/>
  <cp:lastModifiedBy>Mark Newman</cp:lastModifiedBy>
  <cp:revision>7</cp:revision>
  <dcterms:created xsi:type="dcterms:W3CDTF">2025-02-27T09:56:00Z</dcterms:created>
  <dcterms:modified xsi:type="dcterms:W3CDTF">2025-03-05T10:25:00Z</dcterms:modified>
</cp:coreProperties>
</file>