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b/>
          <w:bCs/>
        </w:rPr>
      </w:pPr>
      <w:r>
        <w:rPr>
          <w:b/>
          <w:bCs/>
        </w:rPr>
        <w:t xml:space="preserve">Приложение А Сценарии использования системы</w:t>
      </w:r>
    </w:p>
    <w:p>
      <w:r>
        <w:t xml:space="preserve">Сценарии разработаны на основе описания кейса и реестра стейкхолдеров (таблица 2); в скобках указаны обеспечивающие требования.</w:t>
      </w:r>
    </w:p>
    <w:p>
      <w:pPr>
        <w:keepNext/>
        <w:ind w:firstLine="0"/>
        <w:jc w:val="left"/>
      </w:pPr>
      <w:r>
        <w:rPr>
          <w:b/>
          <w:bCs/>
        </w:rPr>
        <w:t xml:space="preserve">А.1 Диаграмма вариантов использования</w:t>
      </w:r>
    </w:p>
    <w:p>
      <w:r>
        <w:t xml:space="preserve">Диаграмма вариантов использования (UML) приведена на рисунке 10. Прямоугольник обозначает границу системы; сплошные фигуры – пользователи системы, пунктирные – внешние системы; эллипсы – варианты использования. Основные варианты соответствуют сценариям UC-01–UC-05 (таблицы А.3–А.7).</w:t>
      </w:r>
    </w:p>
    <w:p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400000" cy="49321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3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 xml:space="preserve">Рисунок 10 – Диаграмма вариантов использования системы</w:t>
      </w:r>
    </w:p>
    <w:p>
      <w:pPr>
        <w:keepNext/>
        <w:ind w:firstLine="0"/>
        <w:jc w:val="left"/>
      </w:pPr>
      <w:r>
        <w:rPr>
          <w:b/>
          <w:bCs/>
        </w:rPr>
        <w:t xml:space="preserve">А.2 Описание диаграммы</w:t>
      </w:r>
    </w:p>
    <w:p>
      <w:r>
        <w:t xml:space="preserve">Акторы диаграммы и их связь с вариантами использования приведены в таблице А.1.</w:t>
      </w:r>
    </w:p>
    <w:p>
      <w:pPr>
        <w:keepNext/>
        <w:ind w:firstLine="0"/>
        <w:jc w:val="left"/>
      </w:pPr>
      <w:r>
        <w:rPr>
          <w:b/>
          <w:bCs/>
        </w:rPr>
        <w:t xml:space="preserve">Таблица А.1 – Акторы диаграммы вариантов использования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570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 xml:space="preserve">Актор</w:t>
            </w:r>
          </w:p>
        </w:tc>
        <w:tc>
          <w:tcPr>
            <w:tcW w:w="22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 xml:space="preserve">Тип</w:t>
            </w:r>
          </w:p>
        </w:tc>
        <w:tc>
          <w:tcPr>
            <w:tcW w:w="5705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 xml:space="preserve">Участие в вариантах использования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Менеджер проекта (StH-01)</w:t>
            </w:r>
          </w:p>
        </w:tc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Пользователь системы</w:t>
            </w:r>
          </w:p>
        </w:tc>
        <w:tc>
          <w:tcPr>
            <w:tcW w:w="5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UC-01 – создаёт объект, загружает смету, формирует график, задачи и назначения; UC-03 – создаёт заявки и поставки; UC-04 – контролирует отклонения, корректирует прогноз, формирует отчёты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Прораб / бригадир (StH-02)</w:t>
            </w:r>
          </w:p>
        </w:tc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Пользователь системы (мобильный интерфейс)</w:t>
            </w:r>
          </w:p>
        </w:tc>
        <w:tc>
          <w:tcPr>
            <w:tcW w:w="5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UC-02 – просматривает задачи, вносит объёмы, отметки выхода и фотоотчёты, в том числе без связи; UC-03 – получает уведомление о поставке и подтверждает приёмку. Денежные показатели недоступны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Директор (StH-03)</w:t>
            </w:r>
          </w:p>
        </w:tc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Пользователь с ограниченными правами</w:t>
            </w:r>
          </w:p>
        </w:tc>
        <w:tc>
          <w:tcPr>
            <w:tcW w:w="5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UC-04 – только просмотр: сводная панель, выплаты по фактическим объёмам, отчёты. Изменение данных недоступно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Заказчик (StH-04)</w:t>
            </w:r>
          </w:p>
        </w:tc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Пользователь с ограниченным доступом</w:t>
            </w:r>
          </w:p>
        </w:tc>
        <w:tc>
          <w:tcPr>
            <w:tcW w:w="5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UC-05 – просматривает статус работ, фотоархив и историю изменений, согласует акты; доступны данные только его объекта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Push-сервис и почтовый сервер</w:t>
            </w:r>
          </w:p>
        </w:tc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Внешняя система</w:t>
            </w:r>
          </w:p>
        </w:tc>
        <w:tc>
          <w:tcPr>
            <w:tcW w:w="5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UC-03, UC-04 – доставляют пользователям уведомления о сбоях поставок, отклонениях и отмене выхода на смену</w:t>
            </w:r>
          </w:p>
        </w:tc>
      </w:tr>
    </w:tbl>
    <w:p w14:paraId="3F26918D" w14:textId="77777777" w:rsidR="006C73BB" w:rsidRDefault="006C73BB" w:rsidP="006C73BB">
      <w:pPr>
        <w:spacing w:before="0" w:line="240" w:lineRule="auto"/>
        <w:ind w:firstLine="0"/>
      </w:pPr>
    </w:p>
    <w:p>
      <w:r>
        <w:t xml:space="preserve">Отношения на диаграмме приведены в таблице А.2.</w:t>
      </w:r>
    </w:p>
    <w:p>
      <w:pPr>
        <w:keepNext/>
        <w:ind w:firstLine="0"/>
        <w:jc w:val="left"/>
      </w:pPr>
      <w:r>
        <w:rPr>
          <w:b/>
          <w:bCs/>
        </w:rPr>
        <w:t xml:space="preserve">Таблица А.2 – Отношения на диаграмме вариантов использования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490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 xml:space="preserve">Отношение</w:t>
            </w:r>
          </w:p>
        </w:tc>
        <w:tc>
          <w:tcPr>
            <w:tcW w:w="3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 xml:space="preserve">Между элементами</w:t>
            </w:r>
          </w:p>
        </w:tc>
        <w:tc>
          <w:tcPr>
            <w:tcW w:w="4905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 xml:space="preserve">Смысл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Ассоциация</w:t>
            </w:r>
          </w:p>
        </w:tc>
        <w:tc>
          <w:tcPr>
            <w:tcW w:w="3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Актор – вариант использования</w:t>
            </w:r>
          </w:p>
        </w:tc>
        <w:tc>
          <w:tcPr>
            <w:tcW w:w="4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Актор участвует в сценарии: инициирует его, получает результат или принимает данные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«include»</w:t>
            </w:r>
          </w:p>
        </w:tc>
        <w:tc>
          <w:tcPr>
            <w:tcW w:w="3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UC-01 → Запись в историю изменений</w:t>
            </w:r>
          </w:p>
        </w:tc>
        <w:tc>
          <w:tcPr>
            <w:tcW w:w="4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Запись выполняется всегда при сохранении изменений объекта, графика и назначений (шаг 9 сценария UC-01)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«extend»</w:t>
            </w:r>
          </w:p>
        </w:tc>
        <w:tc>
          <w:tcPr>
            <w:tcW w:w="3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Работа без связи (автономный режим) → UC-02</w:t>
            </w:r>
          </w:p>
        </w:tc>
        <w:tc>
          <w:tcPr>
            <w:tcW w:w="4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Выполняется только при отсутствии связи с сервером (шаги 7–8 сценария UC-02)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«extend»</w:t>
            </w:r>
          </w:p>
        </w:tc>
        <w:tc>
          <w:tcPr>
            <w:tcW w:w="3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Push-уведомление о поставке → UC-03</w:t>
            </w:r>
          </w:p>
        </w:tc>
        <w:tc>
          <w:tcPr>
            <w:tcW w:w="4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Выполняется за 2 часа до расчётного времени прибытия машины (шаг 4 сценария UC-03)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«extend»</w:t>
            </w:r>
          </w:p>
        </w:tc>
        <w:tc>
          <w:tcPr>
            <w:tcW w:w="3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Экспорт отчёта в XLSX → UC-04</w:t>
            </w:r>
          </w:p>
        </w:tc>
        <w:tc>
          <w:tcPr>
            <w:tcW w:w="4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Выбор формата XLSX вместо PDF по усмотрению пользователя (шаг 7 сценария UC-04)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«extend»</w:t>
            </w:r>
          </w:p>
        </w:tc>
        <w:tc>
          <w:tcPr>
            <w:tcW w:w="3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Согласование акта → UC-05</w:t>
            </w:r>
          </w:p>
        </w:tc>
        <w:tc>
          <w:tcPr>
            <w:tcW w:w="4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Выполняется, если по объекту сформирован промежуточный акт (шаг 4 сценария UC-05)</w:t>
            </w:r>
          </w:p>
        </w:tc>
      </w:tr>
    </w:tbl>
    <w:p w14:paraId="3F26918D" w14:textId="77777777" w:rsidR="006C73BB" w:rsidRDefault="006C73BB" w:rsidP="006C73BB">
      <w:pPr>
        <w:spacing w:before="0" w:line="240" w:lineRule="auto"/>
        <w:ind w:firstLine="0"/>
      </w:pPr>
    </w:p>
    <w:p>
      <w:r>
        <w:t xml:space="preserve">Аутентификация пользователя (FR-01, FR-02) – шаг 1 сценариев UC-01, UC-02, UC-04 и UC-05 и общее предусловие UC-03; на диаграмме не показана для сохранения читаемости.</w:t>
      </w:r>
    </w:p>
    <w:p>
      <w:pPr>
        <w:keepNext/>
        <w:ind w:firstLine="0"/>
        <w:jc w:val="left"/>
      </w:pPr>
      <w:r>
        <w:rPr>
          <w:b/>
          <w:bCs/>
        </w:rPr>
        <w:t xml:space="preserve">А.3 Диаграммы вариантов использования и описания сценариев</w:t>
      </w:r>
    </w:p>
    <w:p>
      <w:r>
        <w:t xml:space="preserve">Для каждого сценария ниже приведена диаграмма вариантов использования (UML use case diagram) и таблица с полным текстовым описанием сценария. Сплошная фигура – пользователь, пунктирная – внешняя система; эллипс – вариант использования; номера А1, А2 … в таблице соответствуют альтернативным потокам.</w:t>
      </w:r>
    </w:p>
    <w:p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800000" cy="28799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87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en-US"/>
        </w:rPr>
        <w:t xml:space="preserve">Рисунок 11 – Диаграмма вариантов использования для UC-01</w:t>
      </w:r>
    </w:p>
    <w:p>
      <w:pPr>
        <w:keepNext/>
        <w:ind w:firstLine="0"/>
        <w:jc w:val="left"/>
      </w:pPr>
      <w:r>
        <w:rPr>
          <w:b/>
          <w:bCs/>
        </w:rPr>
        <w:t xml:space="preserve">Таблица А.3 – Сценарий UC-01. Планирование объекта и назначение ресурсов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300"/>
        <w:gridCol w:w="790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Идентификатор и наименование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UC-01. Планирование объекта и назначение ресурсов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Основной актор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Менеджер проекта (StH-01)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Предусловие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Менеджер проекта зарегистрирован; справочники видов работ, единиц измерения, рабочих и спецтехники заполнены; смета объекта подготовлена в формате XLSX.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Основной поток событий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1. Менеджер входит в систему; система проверяет учётную запись и права доступа по роли. (FR-01, FR-02)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2. Менеджер создаёт объект: название, адрес, контакты заказчика, плановые сроки и бюджет. (FR-03)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3. Менеджер загружает смету из файла XLSX или вводит позиции вручную: виды работ, плановые объёмы, стоимость. (FR-04)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4. Менеджер формирует график работ по объекту с этапами, плановыми объёмами и сроками. (FR-05)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5. Менеджер формирует ежедневные задачи и назначает исполнителей. (FR-06)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6. Система проверяет загрузку бригад на выбранные даты и предупреждает о перегрузке или простое. (FR-08)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7. Менеджер закрепляет собственную или арендованную спецтехнику за участком. (FR-09)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8. Система проверяет плановые работы на соответствие экологическим ограничениям и предупреждает о работах в запрещённые часы. (FR-27)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9. Система записывает изменения в историю проекта с указанием автора и времени. (FR-25)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Альтернативные потоки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А1. Шаг 1. Пользователь без нужной роли пытается открыть раздел: доступ запрещается (FR-02).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А2. Шаг 3. Файл XLSX имеет неверный формат: выводится сообщение об ошибке, позиции можно ввести вручную (FR-04).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А3. Шаг 6. Бригада перегружена: выводится предупреждение; менеджер меняет назначение или подтверждает его (FR-08, CON-01).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А4. Шаг 7. Техника занята на другом участке: назначение возможно только после подтверждения менеджера (FR-09).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А5. Шаг 8. Работа запланирована в запрещённые часы: выводится предупреждение; график меняет только менеджер (FR-27, CON-01).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Постусловие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Объект, смета, график, ежедневные задачи и назначения сохранены; изменения зафиксированы в истории проекта.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Специальные требования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NFR-09, NFR-11, NFR-15, CON-01, CON-03.</w:t>
            </w:r>
          </w:p>
        </w:tc>
      </w:tr>
    </w:tbl>
    <w:p w14:paraId="3F26918D" w14:textId="77777777" w:rsidR="006C73BB" w:rsidRDefault="006C73BB" w:rsidP="006C73BB">
      <w:pPr>
        <w:spacing w:before="0" w:line="240" w:lineRule="auto"/>
        <w:ind w:firstLine="0"/>
      </w:pPr>
    </w:p>
    <w:p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800000" cy="288851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88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en-US"/>
        </w:rPr>
        <w:t xml:space="preserve">Рисунок 12 – Диаграмма вариантов использования для UC-02</w:t>
      </w:r>
    </w:p>
    <w:p>
      <w:pPr>
        <w:keepNext/>
        <w:ind w:firstLine="0"/>
        <w:jc w:val="left"/>
      </w:pPr>
      <w:r>
        <w:rPr>
          <w:b/>
          <w:bCs/>
        </w:rPr>
        <w:t xml:space="preserve">Таблица А.4 – Сценарий UC-02. Оперативный учёт на объекте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300"/>
        <w:gridCol w:w="790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Идентификатор и наименование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UC-02. Оперативный учёт на объекте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Основной актор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Прораб / бригадир (StH-02)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Предусловие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Прораб зарегистрирован и назначен на объект; на день сформированы задачи; чертежи объекта загружены; у прораба есть смартфон или планшет с камерой и браузером.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Основной поток событий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1. Прораб входит в мобильный интерфейс; система открывает доступ только к назначенному объекту и скрывает денежные показатели. (FR-01, FR-02)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2. Система отображает список задач на день для бригады и список рабочих, назначенных на объект. (FR-12)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3. Прораб открывает проектную документацию и чертежи объекта. (FR-16)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4. Прораб вносит фактически выполненный объём по задаче; система пересчитывает прогнозную дату завершения. (FR-13, FR-07)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5. Прораб отмечает выход бригады на смену. (FR-13)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6. Прораб прикрепляет к задаче до 10 фотографий из камеры устройства. (FR-15)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7. Прораб сохраняет данные; при отсутствии связи они сохраняются на устройстве. (FR-14)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8. После восстановления связи система синхронизирует данные не более чем за 60 секунд. (FR-14)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Альтернативные потоки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А1. Шаг 7. Связь с сервером отсутствует: данные хранятся на устройстве до синхронизации; задачи дня и ранее загруженные чертежи остаются доступными (FR-14, NFR-13).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А2. Шаг 8. Синхронизация завершилась ошибкой: данные остаются на устройстве, ошибка фиксируется в журнале и отображается менеджеру (FR-14, FR-25).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А3. Шаг 1. Прораб пытается открыть разделы с денежными показателями или чужой объект: доступ запрещается (FR-02, NFR-10, CON-03).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Постусловие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Объёмы, отметка выхода и фотографии сохранены на сервере (или на устройстве до синхронизации); прогноз завершения пересчитан.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Специальные требования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NFR-01, NFR-02, NFR-04, NFR-13, NFR-14, NFR-15.</w:t>
            </w:r>
          </w:p>
        </w:tc>
      </w:tr>
    </w:tbl>
    <w:p w14:paraId="3F26918D" w14:textId="77777777" w:rsidR="006C73BB" w:rsidRDefault="006C73BB" w:rsidP="006C73BB">
      <w:pPr>
        <w:spacing w:before="0" w:line="240" w:lineRule="auto"/>
        <w:ind w:firstLine="0"/>
      </w:pPr>
    </w:p>
    <w:p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800000" cy="28799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87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en-US"/>
        </w:rPr>
        <w:t xml:space="preserve">Рисунок 13 – Диаграмма вариантов использования для UC-03</w:t>
      </w:r>
    </w:p>
    <w:p>
      <w:pPr>
        <w:keepNext/>
        <w:ind w:firstLine="0"/>
        <w:jc w:val="left"/>
      </w:pPr>
      <w:r>
        <w:rPr>
          <w:b/>
          <w:bCs/>
        </w:rPr>
        <w:t xml:space="preserve">Таблица А.5 – Сценарий UC-03. Учёт материалов и контроль поставок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300"/>
        <w:gridCol w:w="790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Идентификатор и наименование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UC-03. Учёт материалов и контроль поставок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Основной актор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Менеджер проекта (StH-01); вторичные участники: прораб / бригадир (StH-02), push-сервис и почтовый сервер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Предусловие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Менеджер и прораб аутентифицированы; объект и потребность в материалах заведены; каналы уведомлений настроены.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Основной поток событий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1. Менеджер создаёт заявку на материал с указанием объекта, количества и ожидаемой даты. (FR-10)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2. Система показывает общую потребность, заказанное и полученное по всем объектам для закупки оптовыми партиями. (FR-10)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3. Менеджер создаёт поставку: наименование, дата и время прибытия, номер машины. (FR-11)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4. За 2 часа до расчётного времени прибытия машины система отправляет прорабу push-уведомление. (FR-11, FR-26, NFR-16)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5. При задержке поставки система присваивает статус «задержка» и уведомляет менеджера и прораба. (FR-26)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6. Прораб подтверждает приёмку материалов на месте; статус заявки меняется на «принята», потребность пересчитывается. (FR-10)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7. Система записывает изменения статусов в историю проекта. (FR-25)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Альтернативные потоки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А1. Шаг 4. Канал уведомлений недоступен: уведомление отображается в интерфейсе, передача повторяется не менее 3 раз с интервалом 60 секунд, сбой фиксируется в журнале (NFR-07, FR-25).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А2. Шаг 6. Принято меньше заявленного: фиксируется фактически принятое количество, остаток сохраняется в потребности (FR-10).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Постусловие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Статусы заявки и поставки актуальны; уведомления доставлены или сбой зафиксирован в журнале.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Специальные требования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NFR-07, NFR-09, NFR-15, NFR-16.</w:t>
            </w:r>
          </w:p>
        </w:tc>
      </w:tr>
    </w:tbl>
    <w:p w14:paraId="3F26918D" w14:textId="77777777" w:rsidR="006C73BB" w:rsidRDefault="006C73BB" w:rsidP="006C73BB">
      <w:pPr>
        <w:spacing w:before="0" w:line="240" w:lineRule="auto"/>
        <w:ind w:firstLine="0"/>
      </w:pPr>
    </w:p>
    <w:p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800000" cy="283793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83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en-US"/>
        </w:rPr>
        <w:t xml:space="preserve">Рисунок 14 – Диаграмма вариантов использования для UC-04</w:t>
      </w:r>
    </w:p>
    <w:p>
      <w:pPr>
        <w:keepNext/>
        <w:ind w:firstLine="0"/>
        <w:jc w:val="left"/>
      </w:pPr>
      <w:r>
        <w:rPr>
          <w:b/>
          <w:bCs/>
        </w:rPr>
        <w:t xml:space="preserve">Таблица А.6 – Сценарий UC-04. Контроль отклонений и отчётность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300"/>
        <w:gridCol w:w="790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Идентификатор и наименование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UC-04. Контроль отклонений и отчётность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Основной актор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Менеджер проекта (StH-01); вторичные участники: директор (StH-03, только просмотр), push-сервис и почтовый сервер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Предусловие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По объекту есть смета и внесены фактические объёмы; пользователь аутентифицирован; директор работает в режиме просмотра.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Основной поток событий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1. Менеджер проекта или директор входит в систему; доступ предоставляется по роли. (FR-01, FR-02)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2. Система сопоставляет плановые и фактические объёмы и затраты по позициям сметы. (FR-19)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3. Система выделяет красным цветом позиции, в которых перерасход превышает плановое значение более чем на 5 %. (FR-20)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4. Менеджер просматривает прогноз окончания и исходные данные расчёта; при необходимости корректирует прогноз вручную. (FR-07, NFR-12)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5. Директор открывает сводную панель: маржинальность проектов, загрузка спецтехники, продуктивность бригад. (FR-22)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6. Директор просматривает выплаты бригадам, рассчитанные по фактически выполненным объёмам. (FR-23)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7. Менеджер формирует отчёт в формате PDF или XLSX; сводный PDF-отчёт формируется не более чем за 10 секунд. (FR-21, NFR-02)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8. Система уведомляет менеджера и директора об отклонениях от графика и бюджета. (FR-26)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Альтернативные потоки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А1. Шаг 2. Фактические объёмы не внесены: отклонение не рассчитывается, позиция отмечается как «без факта» (FR-19, FR-13).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А2. Шаги 5–6. Директор пытается изменить данные: действие недоступно, интерфейс работает только на просмотр (FR-02).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А3. Шаг 7. За выбранный период нет данных: отчёт формируется с пометкой об отсутствии данных (FR-21).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Постусловие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Отклонения выявлены, отчёт сформирован; ручная корректировка прогноза (если была) записана в историю проекта.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Специальные требования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NFR-01, NFR-02, NFR-03, NFR-10, NFR-12.</w:t>
            </w:r>
          </w:p>
        </w:tc>
      </w:tr>
    </w:tbl>
    <w:p w14:paraId="3F26918D" w14:textId="77777777" w:rsidR="006C73BB" w:rsidRDefault="006C73BB" w:rsidP="006C73BB">
      <w:pPr>
        <w:spacing w:before="0" w:line="240" w:lineRule="auto"/>
        <w:ind w:firstLine="0"/>
      </w:pPr>
    </w:p>
    <w:p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800000" cy="2900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en-US"/>
        </w:rPr>
        <w:t xml:space="preserve">Рисунок 15 – Диаграмма вариантов использования для UC-05</w:t>
      </w:r>
    </w:p>
    <w:p>
      <w:pPr>
        <w:keepNext/>
        <w:ind w:firstLine="0"/>
        <w:jc w:val="left"/>
      </w:pPr>
      <w:r>
        <w:rPr>
          <w:b/>
          <w:bCs/>
        </w:rPr>
        <w:t xml:space="preserve">Таблица А.7 – Сценарий UC-05. Работа заказчика с проектом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300"/>
        <w:gridCol w:w="790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Идентификатор и наименование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UC-05. Работа заказчика с проектом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Основной актор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Заказчик (StH-04)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Предусловие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Заказчик зарегистрирован и закреплён за объектом; по объекту ведутся работы; менеджер сформировал промежуточный акт.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Основной поток событий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1. Заказчик входит в личный кабинет. (FR-01, FR-24)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2. Система отображает статус работ, процент выполнения, плановую и прогнозную даты окончания только по объекту заказчика. (FR-24, FR-02)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3. Заказчик просматривает фотоархив этапов и скрытых инженерных работ (дренаж, полив). (FR-17)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4. Заказчик открывает промежуточный акт выполненных работ и согласует или отклоняет его. (FR-18)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5. Система фиксирует решение с автором, датой и временем в истории изменений проекта; заказчик просматривает историю. (FR-25)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6. Заказчик получает сводный PDF-отчёт с фотофиксацией. (FR-21, NFR-02)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Альтернативные потоки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А1. Шаги 2–3. Заказчик пытается открыть данные чужого объекта: доступ запрещается (CON-03, FR-02).</w:t>
            </w:r>
          </w:p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А2. Шаг 4. Акт отклонён: заказчик указывает причину, решение фиксируется в истории и видно менеджеру (FR-18, FR-25).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Постусловие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Решение заказчика по акту зафиксировано и неизменяемо записано в истории проекта.</w:t>
            </w:r>
          </w:p>
        </w:tc>
      </w:tr>
      <w:tr>
        <w:tc>
          <w:tcPr>
            <w:tcW w:w="2300" w:type="dxa"/>
            <w:shd w:val="clear" w:color="auto" w:fill="auto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 xml:space="preserve">Специальные требования</w:t>
            </w:r>
          </w:p>
        </w:tc>
        <w:tc>
          <w:tcPr>
            <w:tcW w:w="79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NFR-02, NFR-09, NFR-15, CON-03.</w:t>
            </w:r>
          </w:p>
        </w:tc>
      </w:tr>
    </w:tbl>
    <w:p w14:paraId="3F26918D" w14:textId="77777777" w:rsidR="006C73BB" w:rsidRDefault="006C73BB" w:rsidP="006C73BB">
      <w:pPr>
        <w:spacing w:before="0" w:line="240" w:lineRule="auto"/>
        <w:ind w:firstLine="0"/>
      </w:pPr>
    </w:p>
    <w:p w14:paraId="6FCA9801" w14:textId="77777777" w:rsidR="00FC217E" w:rsidRPr="006C73BB" w:rsidRDefault="00FC217E" w:rsidP="006C73BB"/>
    <w:sectPr w:rsidR="00FC217E" w:rsidRPr="006C73BB" w:rsidSect="00A24538">
      <w:headerReference w:type="default" r:id="rId12"/>
      <w:pgSz w:w="11906" w:h="16838"/>
      <w:pgMar w:top="567" w:right="1134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35A87" w14:textId="77777777" w:rsidR="00123084" w:rsidRDefault="00123084">
      <w:pPr>
        <w:spacing w:before="0" w:line="240" w:lineRule="auto"/>
      </w:pPr>
      <w:r>
        <w:separator/>
      </w:r>
    </w:p>
  </w:endnote>
  <w:endnote w:type="continuationSeparator" w:id="0">
    <w:p w14:paraId="77F069ED" w14:textId="77777777" w:rsidR="00123084" w:rsidRDefault="0012308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96E81" w14:textId="77777777" w:rsidR="00123084" w:rsidRDefault="00123084">
      <w:pPr>
        <w:spacing w:before="0" w:line="240" w:lineRule="auto"/>
      </w:pPr>
      <w:r>
        <w:separator/>
      </w:r>
    </w:p>
  </w:footnote>
  <w:footnote w:type="continuationSeparator" w:id="0">
    <w:p w14:paraId="4523DD1B" w14:textId="77777777" w:rsidR="00123084" w:rsidRDefault="0012308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2D98A" w14:textId="77777777" w:rsidR="0023221D" w:rsidRPr="00C17A21" w:rsidRDefault="00FC217E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45207480" w14:textId="77777777" w:rsidR="0023221D" w:rsidRPr="008E27BF" w:rsidRDefault="00123084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4EF73F6"/>
    <w:multiLevelType w:val="hybridMultilevel"/>
    <w:tmpl w:val="FEB6256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F40F4E"/>
    <w:multiLevelType w:val="hybridMultilevel"/>
    <w:tmpl w:val="916E9846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3D2132"/>
    <w:multiLevelType w:val="hybridMultilevel"/>
    <w:tmpl w:val="521A2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07F19"/>
    <w:multiLevelType w:val="hybridMultilevel"/>
    <w:tmpl w:val="E3A4CB72"/>
    <w:lvl w:ilvl="0" w:tplc="D4A082DC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F4925F6"/>
    <w:multiLevelType w:val="hybridMultilevel"/>
    <w:tmpl w:val="2FE483D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1C856BB"/>
    <w:multiLevelType w:val="multilevel"/>
    <w:tmpl w:val="FE908C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A5B29"/>
    <w:multiLevelType w:val="hybridMultilevel"/>
    <w:tmpl w:val="1C1266E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C05A2E"/>
    <w:multiLevelType w:val="hybridMultilevel"/>
    <w:tmpl w:val="D072335A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2FF16848"/>
    <w:multiLevelType w:val="hybridMultilevel"/>
    <w:tmpl w:val="A64EB02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0DB72D2"/>
    <w:multiLevelType w:val="hybridMultilevel"/>
    <w:tmpl w:val="600C180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5" w15:restartNumberingAfterBreak="0">
    <w:nsid w:val="31ED0C12"/>
    <w:multiLevelType w:val="hybridMultilevel"/>
    <w:tmpl w:val="5FE08D1A"/>
    <w:lvl w:ilvl="0" w:tplc="874CD5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46D7EAC"/>
    <w:multiLevelType w:val="hybridMultilevel"/>
    <w:tmpl w:val="D0EEE826"/>
    <w:lvl w:ilvl="0" w:tplc="A0C8AE2C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3CAC4470"/>
    <w:multiLevelType w:val="hybridMultilevel"/>
    <w:tmpl w:val="5F747CE6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64465A5"/>
    <w:multiLevelType w:val="hybridMultilevel"/>
    <w:tmpl w:val="26169F56"/>
    <w:lvl w:ilvl="0" w:tplc="9A4AA234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7FE2CA7"/>
    <w:multiLevelType w:val="hybridMultilevel"/>
    <w:tmpl w:val="59E88B90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C9D67E9"/>
    <w:multiLevelType w:val="hybridMultilevel"/>
    <w:tmpl w:val="1FE631DA"/>
    <w:lvl w:ilvl="0" w:tplc="74C083C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E7230F3"/>
    <w:multiLevelType w:val="hybridMultilevel"/>
    <w:tmpl w:val="222676CC"/>
    <w:lvl w:ilvl="0" w:tplc="A0C8AE2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2" w15:restartNumberingAfterBreak="0">
    <w:nsid w:val="4F163EFA"/>
    <w:multiLevelType w:val="hybridMultilevel"/>
    <w:tmpl w:val="5FB64BC8"/>
    <w:lvl w:ilvl="0" w:tplc="A0C8AE2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3" w15:restartNumberingAfterBreak="0">
    <w:nsid w:val="509F1D04"/>
    <w:multiLevelType w:val="hybridMultilevel"/>
    <w:tmpl w:val="92987C6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58640CF"/>
    <w:multiLevelType w:val="hybridMultilevel"/>
    <w:tmpl w:val="83E2DA14"/>
    <w:lvl w:ilvl="0" w:tplc="0B0E6BCA">
      <w:start w:val="1"/>
      <w:numFmt w:val="decimal"/>
      <w:lvlText w:val="Рисунок %1 −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5" w15:restartNumberingAfterBreak="0">
    <w:nsid w:val="58591B6F"/>
    <w:multiLevelType w:val="hybridMultilevel"/>
    <w:tmpl w:val="358C87F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92954F6"/>
    <w:multiLevelType w:val="hybridMultilevel"/>
    <w:tmpl w:val="6EC262E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B046096"/>
    <w:multiLevelType w:val="hybridMultilevel"/>
    <w:tmpl w:val="5CEA0122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FDB224E"/>
    <w:multiLevelType w:val="hybridMultilevel"/>
    <w:tmpl w:val="99BC3080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6047C5C"/>
    <w:multiLevelType w:val="hybridMultilevel"/>
    <w:tmpl w:val="5B32EB3C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F902C0D"/>
    <w:multiLevelType w:val="hybridMultilevel"/>
    <w:tmpl w:val="37A63626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07473D7"/>
    <w:multiLevelType w:val="hybridMultilevel"/>
    <w:tmpl w:val="98243DE0"/>
    <w:lvl w:ilvl="0" w:tplc="874CD5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6305A7E"/>
    <w:multiLevelType w:val="hybridMultilevel"/>
    <w:tmpl w:val="A34873E2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95220FE"/>
    <w:multiLevelType w:val="hybridMultilevel"/>
    <w:tmpl w:val="C00E863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E1124F5"/>
    <w:multiLevelType w:val="hybridMultilevel"/>
    <w:tmpl w:val="ED206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2D40E8"/>
    <w:multiLevelType w:val="hybridMultilevel"/>
    <w:tmpl w:val="A82874F4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4"/>
  </w:num>
  <w:num w:numId="4">
    <w:abstractNumId w:val="8"/>
  </w:num>
  <w:num w:numId="5">
    <w:abstractNumId w:val="9"/>
  </w:num>
  <w:num w:numId="6">
    <w:abstractNumId w:val="19"/>
  </w:num>
  <w:num w:numId="7">
    <w:abstractNumId w:val="17"/>
  </w:num>
  <w:num w:numId="8">
    <w:abstractNumId w:val="9"/>
    <w:lvlOverride w:ilvl="0">
      <w:startOverride w:val="4"/>
    </w:lvlOverride>
    <w:lvlOverride w:ilvl="1">
      <w:startOverride w:val="3"/>
    </w:lvlOverride>
  </w:num>
  <w:num w:numId="9">
    <w:abstractNumId w:val="1"/>
  </w:num>
  <w:num w:numId="10">
    <w:abstractNumId w:val="6"/>
  </w:num>
  <w:num w:numId="11">
    <w:abstractNumId w:val="4"/>
  </w:num>
  <w:num w:numId="12">
    <w:abstractNumId w:val="31"/>
  </w:num>
  <w:num w:numId="13">
    <w:abstractNumId w:val="15"/>
  </w:num>
  <w:num w:numId="14">
    <w:abstractNumId w:val="12"/>
  </w:num>
  <w:num w:numId="15">
    <w:abstractNumId w:val="25"/>
  </w:num>
  <w:num w:numId="16">
    <w:abstractNumId w:val="24"/>
  </w:num>
  <w:num w:numId="17">
    <w:abstractNumId w:val="32"/>
  </w:num>
  <w:num w:numId="18">
    <w:abstractNumId w:val="35"/>
  </w:num>
  <w:num w:numId="19">
    <w:abstractNumId w:val="10"/>
  </w:num>
  <w:num w:numId="20">
    <w:abstractNumId w:val="2"/>
  </w:num>
  <w:num w:numId="21">
    <w:abstractNumId w:val="23"/>
  </w:num>
  <w:num w:numId="22">
    <w:abstractNumId w:val="21"/>
  </w:num>
  <w:num w:numId="23">
    <w:abstractNumId w:val="22"/>
  </w:num>
  <w:num w:numId="24">
    <w:abstractNumId w:val="28"/>
  </w:num>
  <w:num w:numId="25">
    <w:abstractNumId w:val="34"/>
  </w:num>
  <w:num w:numId="26">
    <w:abstractNumId w:val="30"/>
  </w:num>
  <w:num w:numId="27">
    <w:abstractNumId w:val="3"/>
  </w:num>
  <w:num w:numId="28">
    <w:abstractNumId w:val="26"/>
  </w:num>
  <w:num w:numId="29">
    <w:abstractNumId w:val="7"/>
  </w:num>
  <w:num w:numId="30">
    <w:abstractNumId w:val="16"/>
  </w:num>
  <w:num w:numId="31">
    <w:abstractNumId w:val="27"/>
  </w:num>
  <w:num w:numId="32">
    <w:abstractNumId w:val="20"/>
  </w:num>
  <w:num w:numId="33">
    <w:abstractNumId w:val="5"/>
  </w:num>
  <w:num w:numId="34">
    <w:abstractNumId w:val="33"/>
  </w:num>
  <w:num w:numId="35">
    <w:abstractNumId w:val="13"/>
  </w:num>
  <w:num w:numId="36">
    <w:abstractNumId w:val="18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38"/>
    <w:rsid w:val="00123084"/>
    <w:rsid w:val="006C73BB"/>
    <w:rsid w:val="00765C2F"/>
    <w:rsid w:val="008338C0"/>
    <w:rsid w:val="00907D02"/>
    <w:rsid w:val="009A2D70"/>
    <w:rsid w:val="00A24538"/>
    <w:rsid w:val="00A7667B"/>
    <w:rsid w:val="00AA75AB"/>
    <w:rsid w:val="00E929D7"/>
    <w:rsid w:val="00F32C96"/>
    <w:rsid w:val="00FC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883AA"/>
  <w15:chartTrackingRefBased/>
  <w15:docId w15:val="{072A6F67-8F4E-4212-BF67-9F042953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A24538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A24538"/>
    <w:pPr>
      <w:keepNext/>
      <w:keepLines/>
      <w:pageBreakBefore/>
      <w:numPr>
        <w:numId w:val="5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A24538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A24538"/>
    <w:pPr>
      <w:keepNext/>
      <w:keepLines/>
      <w:numPr>
        <w:ilvl w:val="2"/>
        <w:numId w:val="5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A24538"/>
    <w:pPr>
      <w:keepNext/>
      <w:keepLines/>
      <w:numPr>
        <w:ilvl w:val="3"/>
        <w:numId w:val="5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A24538"/>
    <w:pPr>
      <w:keepNext/>
      <w:keepLines/>
      <w:numPr>
        <w:ilvl w:val="4"/>
        <w:numId w:val="5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A24538"/>
    <w:pPr>
      <w:keepNext/>
      <w:keepLines/>
      <w:numPr>
        <w:ilvl w:val="5"/>
        <w:numId w:val="5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A24538"/>
    <w:pPr>
      <w:keepNext/>
      <w:keepLines/>
      <w:numPr>
        <w:ilvl w:val="6"/>
        <w:numId w:val="5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A24538"/>
    <w:pPr>
      <w:keepNext/>
      <w:keepLines/>
      <w:numPr>
        <w:ilvl w:val="7"/>
        <w:numId w:val="5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A24538"/>
    <w:pPr>
      <w:keepNext/>
      <w:keepLines/>
      <w:numPr>
        <w:ilvl w:val="8"/>
        <w:numId w:val="5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A24538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  <w14:ligatures w14:val="none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A24538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  <w14:ligatures w14:val="none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A24538"/>
    <w:rPr>
      <w:rFonts w:ascii="Times New Roman" w:eastAsiaTheme="majorEastAsia" w:hAnsi="Times New Roman" w:cs="Times New Roman"/>
      <w:b/>
      <w:bCs/>
      <w:kern w:val="0"/>
      <w:sz w:val="24"/>
      <w:lang w:eastAsia="ru-RU"/>
      <w14:ligatures w14:val="none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A24538"/>
    <w:rPr>
      <w:rFonts w:ascii="Times New Roman" w:eastAsiaTheme="majorEastAsia" w:hAnsi="Times New Roman" w:cs="Times New Roman"/>
      <w:b/>
      <w:bCs/>
      <w:iCs/>
      <w:kern w:val="0"/>
      <w:sz w:val="24"/>
      <w:lang w:eastAsia="ru-RU"/>
      <w14:ligatures w14:val="none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A24538"/>
    <w:rPr>
      <w:rFonts w:ascii="Times New Roman" w:eastAsiaTheme="majorEastAsia" w:hAnsi="Times New Roman" w:cs="Times New Roman"/>
      <w:b/>
      <w:kern w:val="0"/>
      <w:sz w:val="24"/>
      <w:lang w:eastAsia="ru-RU"/>
      <w14:ligatures w14:val="none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A24538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A24538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A24538"/>
    <w:rPr>
      <w:rFonts w:ascii="Times New Roman" w:eastAsiaTheme="majorEastAsia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A24538"/>
    <w:rPr>
      <w:rFonts w:asciiTheme="majorHAnsi" w:eastAsiaTheme="majorEastAsia" w:hAnsiTheme="majorHAnsi" w:cstheme="majorBidi"/>
      <w:iCs/>
      <w:kern w:val="0"/>
      <w:sz w:val="24"/>
      <w:szCs w:val="28"/>
      <w:lang w:eastAsia="ru-RU"/>
      <w14:ligatures w14:val="none"/>
    </w:rPr>
  </w:style>
  <w:style w:type="paragraph" w:styleId="a0">
    <w:name w:val="List Paragraph"/>
    <w:aliases w:val="vgu_List1"/>
    <w:basedOn w:val="a1"/>
    <w:link w:val="a5"/>
    <w:uiPriority w:val="34"/>
    <w:qFormat/>
    <w:rsid w:val="00A24538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A2453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customStyle="1" w:styleId="vguList2">
    <w:name w:val="vgu_List2"/>
    <w:basedOn w:val="a0"/>
    <w:qFormat/>
    <w:rsid w:val="00A24538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A24538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A24538"/>
    <w:rPr>
      <w:color w:val="0563C1" w:themeColor="hyperlink"/>
      <w:u w:val="single"/>
    </w:rPr>
  </w:style>
  <w:style w:type="paragraph" w:customStyle="1" w:styleId="vguNumber">
    <w:name w:val="vgu_Number"/>
    <w:basedOn w:val="a0"/>
    <w:rsid w:val="00A24538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A24538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A24538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A24538"/>
    <w:rPr>
      <w:rFonts w:ascii="Times New Roman" w:eastAsiaTheme="minorEastAsia" w:hAnsi="Times New Roman"/>
      <w:b/>
      <w:caps/>
      <w:kern w:val="0"/>
      <w:sz w:val="24"/>
      <w:lang w:eastAsia="ru-RU"/>
      <w14:ligatures w14:val="none"/>
    </w:rPr>
  </w:style>
  <w:style w:type="paragraph" w:styleId="a7">
    <w:name w:val="Balloon Text"/>
    <w:basedOn w:val="a1"/>
    <w:link w:val="a8"/>
    <w:uiPriority w:val="99"/>
    <w:semiHidden/>
    <w:unhideWhenUsed/>
    <w:rsid w:val="00A24538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A24538"/>
    <w:rPr>
      <w:rFonts w:ascii="Tahoma" w:eastAsiaTheme="minorEastAsia" w:hAnsi="Tahoma" w:cs="Tahoma"/>
      <w:kern w:val="0"/>
      <w:sz w:val="16"/>
      <w:szCs w:val="16"/>
      <w:lang w:eastAsia="ru-RU"/>
      <w14:ligatures w14:val="none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A24538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A24538"/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character" w:styleId="ab">
    <w:name w:val="Subtle Emphasis"/>
    <w:basedOn w:val="a2"/>
    <w:uiPriority w:val="99"/>
    <w:qFormat/>
    <w:rsid w:val="00A24538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A24538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A24538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A2453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customStyle="1" w:styleId="vguAdditionName">
    <w:name w:val="vgu_AdditionName"/>
    <w:basedOn w:val="1"/>
    <w:qFormat/>
    <w:rsid w:val="00A24538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A2453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A24538"/>
    <w:rPr>
      <w:rFonts w:ascii="Times New Roman" w:eastAsiaTheme="minorEastAsia" w:hAnsi="Times New Roman"/>
      <w:b/>
      <w:caps/>
      <w:kern w:val="0"/>
      <w:sz w:val="24"/>
      <w:lang w:eastAsia="ru-RU"/>
      <w14:ligatures w14:val="none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A24538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A24538"/>
    <w:rPr>
      <w:rFonts w:ascii="Times New Roman" w:eastAsia="Times New Roman" w:hAnsi="Times New Roman" w:cs="Times New Roman"/>
      <w:noProof/>
      <w:kern w:val="0"/>
      <w:sz w:val="24"/>
      <w:szCs w:val="24"/>
      <w:lang w:eastAsia="ru-RU"/>
      <w14:ligatures w14:val="none"/>
    </w:rPr>
  </w:style>
  <w:style w:type="paragraph" w:styleId="21">
    <w:name w:val="toc 2"/>
    <w:aliases w:val="vguC_Contents2"/>
    <w:basedOn w:val="a1"/>
    <w:next w:val="a1"/>
    <w:autoRedefine/>
    <w:uiPriority w:val="39"/>
    <w:rsid w:val="00A24538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A24538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A245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A24538"/>
    <w:pPr>
      <w:spacing w:before="60" w:after="60" w:line="276" w:lineRule="auto"/>
      <w:ind w:firstLine="0"/>
      <w:contextualSpacing w:val="0"/>
      <w:jc w:val="left"/>
    </w:pPr>
    <w:rPr>
      <w:szCs w:val="18"/>
    </w:rPr>
  </w:style>
  <w:style w:type="character" w:customStyle="1" w:styleId="vgutTableName0">
    <w:name w:val="vgut_TableName Знак"/>
    <w:basedOn w:val="aa"/>
    <w:link w:val="vgutTableName"/>
    <w:rsid w:val="00A24538"/>
    <w:rPr>
      <w:rFonts w:ascii="Times New Roman" w:eastAsiaTheme="minorEastAsia" w:hAnsi="Times New Roman"/>
      <w:bCs w:val="0"/>
      <w:kern w:val="0"/>
      <w:sz w:val="24"/>
      <w:szCs w:val="18"/>
      <w:lang w:eastAsia="ru-RU"/>
      <w14:ligatures w14:val="none"/>
    </w:rPr>
  </w:style>
  <w:style w:type="paragraph" w:styleId="ad">
    <w:name w:val="header"/>
    <w:aliases w:val="vgux_TitleHeader"/>
    <w:basedOn w:val="a1"/>
    <w:link w:val="ae"/>
    <w:uiPriority w:val="99"/>
    <w:unhideWhenUsed/>
    <w:rsid w:val="00A24538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A2453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af">
    <w:name w:val="footer"/>
    <w:aliases w:val="vgux_TitleFooter"/>
    <w:basedOn w:val="a1"/>
    <w:link w:val="af0"/>
    <w:uiPriority w:val="98"/>
    <w:unhideWhenUsed/>
    <w:rsid w:val="00A24538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A24538"/>
    <w:rPr>
      <w:rFonts w:ascii="Times New Roman" w:eastAsiaTheme="minorEastAsia" w:hAnsi="Times New Roman"/>
      <w:b/>
      <w:kern w:val="0"/>
      <w:sz w:val="32"/>
      <w:lang w:eastAsia="ru-RU"/>
      <w14:ligatures w14:val="none"/>
    </w:rPr>
  </w:style>
  <w:style w:type="character" w:styleId="af1">
    <w:name w:val="page number"/>
    <w:aliases w:val="vgux_PageNumber"/>
    <w:basedOn w:val="a2"/>
    <w:rsid w:val="00A24538"/>
    <w:rPr>
      <w:szCs w:val="24"/>
    </w:rPr>
  </w:style>
  <w:style w:type="paragraph" w:customStyle="1" w:styleId="vguxTitleDocName">
    <w:name w:val="vgux_TitleDocName"/>
    <w:basedOn w:val="a1"/>
    <w:qFormat/>
    <w:rsid w:val="00A24538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A24538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A24538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A24538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A2453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A2453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A24538"/>
    <w:rPr>
      <w:rFonts w:ascii="Times New Roman" w:eastAsiaTheme="minorEastAsia" w:hAnsi="Times New Roman"/>
      <w:kern w:val="0"/>
      <w:sz w:val="20"/>
      <w:szCs w:val="20"/>
      <w:lang w:eastAsia="ru-RU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2453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A24538"/>
    <w:rPr>
      <w:rFonts w:ascii="Times New Roman" w:eastAsiaTheme="minorEastAsia" w:hAnsi="Times New Roman"/>
      <w:b/>
      <w:bCs/>
      <w:kern w:val="0"/>
      <w:sz w:val="20"/>
      <w:szCs w:val="20"/>
      <w:lang w:eastAsia="ru-RU"/>
      <w14:ligatures w14:val="none"/>
    </w:rPr>
  </w:style>
  <w:style w:type="paragraph" w:styleId="af7">
    <w:name w:val="footnote text"/>
    <w:basedOn w:val="a1"/>
    <w:link w:val="af8"/>
    <w:uiPriority w:val="99"/>
    <w:unhideWhenUsed/>
    <w:rsid w:val="00A24538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A24538"/>
    <w:rPr>
      <w:rFonts w:ascii="Times New Roman" w:eastAsiaTheme="minorEastAsia" w:hAnsi="Times New Roman"/>
      <w:kern w:val="0"/>
      <w:sz w:val="20"/>
      <w:szCs w:val="20"/>
      <w:lang w:eastAsia="ru-RU"/>
      <w14:ligatures w14:val="none"/>
    </w:rPr>
  </w:style>
  <w:style w:type="character" w:styleId="af9">
    <w:name w:val="footnote reference"/>
    <w:basedOn w:val="a2"/>
    <w:uiPriority w:val="99"/>
    <w:semiHidden/>
    <w:unhideWhenUsed/>
    <w:rsid w:val="00A24538"/>
    <w:rPr>
      <w:vertAlign w:val="superscript"/>
    </w:rPr>
  </w:style>
  <w:style w:type="paragraph" w:styleId="afa">
    <w:name w:val="Revision"/>
    <w:hidden/>
    <w:uiPriority w:val="99"/>
    <w:semiHidden/>
    <w:rsid w:val="00A24538"/>
    <w:pPr>
      <w:spacing w:after="0" w:line="240" w:lineRule="auto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fb">
    <w:name w:val="TOC Heading"/>
    <w:basedOn w:val="1"/>
    <w:next w:val="a1"/>
    <w:uiPriority w:val="39"/>
    <w:unhideWhenUsed/>
    <w:qFormat/>
    <w:rsid w:val="00A24538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character" w:styleId="afc">
    <w:name w:val="Strong"/>
    <w:basedOn w:val="a2"/>
    <w:uiPriority w:val="22"/>
    <w:qFormat/>
    <w:rsid w:val="00A24538"/>
    <w:rPr>
      <w:b/>
      <w:bCs/>
    </w:rPr>
  </w:style>
  <w:style w:type="paragraph" w:styleId="afd">
    <w:name w:val="Normal (Web)"/>
    <w:basedOn w:val="a1"/>
    <w:uiPriority w:val="99"/>
    <w:unhideWhenUsed/>
    <w:rsid w:val="00A2453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Placeholder Text"/>
    <w:basedOn w:val="a2"/>
    <w:uiPriority w:val="99"/>
    <w:semiHidden/>
    <w:rsid w:val="00A24538"/>
    <w:rPr>
      <w:color w:val="808080"/>
    </w:rPr>
  </w:style>
  <w:style w:type="character" w:customStyle="1" w:styleId="normaltextrun">
    <w:name w:val="normaltextrun"/>
    <w:basedOn w:val="a2"/>
    <w:rsid w:val="00A24538"/>
  </w:style>
  <w:style w:type="paragraph" w:customStyle="1" w:styleId="paragraph">
    <w:name w:val="paragraph"/>
    <w:basedOn w:val="a1"/>
    <w:rsid w:val="00A24538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2"/>
    <w:rsid w:val="00A24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1647</Words>
  <Characters>9394</Characters>
  <Application>Microsoft Office Word</Application>
  <DocSecurity>0</DocSecurity>
  <Lines>78</Lines>
  <Paragraphs>22</Paragraphs>
  <ScaleCrop>false</ScaleCrop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 Я. В.</dc:creator>
  <cp:keywords/>
  <dc:description/>
  <cp:lastModifiedBy>Поп Я. В.</cp:lastModifiedBy>
  <cp:revision>5</cp:revision>
  <dcterms:created xsi:type="dcterms:W3CDTF">2026-09-21T18:04:00Z</dcterms:created>
  <dcterms:modified xsi:type="dcterms:W3CDTF">2026-09-25T18:51:00Z</dcterms:modified>
</cp:coreProperties>
</file>