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2.svg" ContentType="image/svg+xml"/>
  <Override PartName="/word/media/image4.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C91B1D">
      <w:pPr>
        <w:pStyle w:val="27"/>
        <w:spacing w:before="100" w:beforeAutospacing="1" w:after="100" w:afterAutospacing="1"/>
        <w:rPr>
          <w:rFonts w:hint="default"/>
          <w:lang w:val="en-US"/>
        </w:rPr>
      </w:pPr>
      <w:r>
        <w:rPr>
          <w:rFonts w:hint="default"/>
          <w:lang w:val="en-US"/>
        </w:rPr>
        <w:t>DQN stock tradebot using Macro-econoimc Data</w:t>
      </w:r>
    </w:p>
    <w:p w14:paraId="075C3314">
      <w:pPr>
        <w:pStyle w:val="27"/>
        <w:spacing w:before="100" w:beforeAutospacing="1" w:after="100" w:afterAutospacing="1"/>
        <w:rPr>
          <w:rFonts w:hint="default"/>
          <w:b/>
          <w:bCs/>
          <w:lang w:val="en-US"/>
        </w:rPr>
        <w:sectPr>
          <w:footerReference r:id="rId3" w:type="first"/>
          <w:pgSz w:w="12240" w:h="15840"/>
          <w:pgMar w:top="1080" w:right="893" w:bottom="1440" w:left="893" w:header="720" w:footer="720" w:gutter="0"/>
          <w:cols w:space="720" w:num="1"/>
          <w:titlePg/>
          <w:docGrid w:linePitch="360" w:charSpace="0"/>
        </w:sectPr>
      </w:pPr>
      <w:r>
        <w:rPr>
          <w:rFonts w:hint="default"/>
          <w:sz w:val="18"/>
          <w:szCs w:val="18"/>
          <w:lang w:val="en-US"/>
        </w:rPr>
        <w:t>Bomin Zhang</w:t>
      </w:r>
      <w:r>
        <w:rPr>
          <w:rFonts w:hint="default"/>
          <w:sz w:val="18"/>
          <w:szCs w:val="18"/>
          <w:lang w:val="en-US"/>
        </w:rPr>
        <w:br w:type="textWrapping"/>
      </w:r>
      <w:r>
        <w:rPr>
          <w:rFonts w:hint="default"/>
          <w:sz w:val="18"/>
          <w:szCs w:val="18"/>
          <w:lang w:val="en-US"/>
        </w:rPr>
        <w:t>Science Academy</w:t>
      </w:r>
      <w:r>
        <w:rPr>
          <w:sz w:val="18"/>
          <w:szCs w:val="18"/>
        </w:rPr>
        <w:br w:type="textWrapping"/>
      </w:r>
      <w:r>
        <w:rPr>
          <w:rFonts w:hint="default"/>
          <w:sz w:val="18"/>
          <w:szCs w:val="18"/>
          <w:lang w:val="en-US"/>
        </w:rPr>
        <w:t>Univeristy of Maryland, College Park</w:t>
      </w:r>
      <w:r>
        <w:rPr>
          <w:rFonts w:hint="default"/>
          <w:sz w:val="18"/>
          <w:szCs w:val="18"/>
          <w:lang w:val="en-US"/>
        </w:rPr>
        <w:br w:type="textWrapping"/>
      </w:r>
      <w:r>
        <w:rPr>
          <w:rFonts w:hint="default"/>
          <w:sz w:val="18"/>
          <w:szCs w:val="18"/>
          <w:lang w:val="en-US"/>
        </w:rPr>
        <w:t>College Park, United States</w:t>
      </w:r>
      <w:r>
        <w:rPr>
          <w:sz w:val="18"/>
          <w:szCs w:val="18"/>
        </w:rPr>
        <w:br w:type="textWrapping"/>
      </w:r>
      <w:r>
        <w:rPr>
          <w:rFonts w:hint="default"/>
          <w:sz w:val="18"/>
          <w:szCs w:val="18"/>
          <w:lang w:val="en-US"/>
        </w:rPr>
        <w:t>bominz2@umd.edu</w:t>
      </w:r>
    </w:p>
    <w:p w14:paraId="707B697C">
      <w:pPr>
        <w:pStyle w:val="20"/>
        <w:spacing w:before="100" w:beforeAutospacing="1"/>
        <w:jc w:val="both"/>
        <w:rPr>
          <w:sz w:val="16"/>
          <w:szCs w:val="16"/>
        </w:rPr>
        <w:sectPr>
          <w:type w:val="continuous"/>
          <w:pgSz w:w="12240" w:h="15840"/>
          <w:pgMar w:top="1080" w:right="893" w:bottom="1440" w:left="893" w:header="720" w:footer="720" w:gutter="0"/>
          <w:cols w:space="216" w:num="4"/>
          <w:docGrid w:linePitch="360" w:charSpace="0"/>
        </w:sectPr>
      </w:pPr>
    </w:p>
    <w:p w14:paraId="4BFA336A">
      <w:pPr>
        <w:pStyle w:val="20"/>
        <w:spacing w:before="100" w:beforeAutospacing="1"/>
        <w:jc w:val="both"/>
        <w:rPr>
          <w:sz w:val="16"/>
          <w:szCs w:val="16"/>
        </w:rPr>
      </w:pPr>
    </w:p>
    <w:p w14:paraId="66D3C4B7">
      <w:pPr>
        <w:pStyle w:val="20"/>
        <w:spacing w:before="100" w:beforeAutospacing="1"/>
        <w:jc w:val="both"/>
        <w:rPr>
          <w:sz w:val="16"/>
          <w:szCs w:val="16"/>
        </w:rPr>
        <w:sectPr>
          <w:type w:val="continuous"/>
          <w:pgSz w:w="12240" w:h="15840"/>
          <w:pgMar w:top="1080" w:right="893" w:bottom="1440" w:left="893" w:header="720" w:footer="720" w:gutter="0"/>
          <w:cols w:space="216" w:num="4"/>
          <w:docGrid w:linePitch="360" w:charSpace="0"/>
        </w:sectPr>
      </w:pPr>
    </w:p>
    <w:p w14:paraId="267708E4">
      <w:pPr>
        <w:pStyle w:val="18"/>
        <w:rPr>
          <w:i/>
          <w:iCs/>
        </w:rPr>
      </w:pPr>
      <w:r>
        <w:rPr>
          <w:i/>
          <w:iCs/>
        </w:rPr>
        <w:t>Abstract</w:t>
      </w:r>
      <w:r>
        <w:t>—</w:t>
      </w:r>
      <w:r>
        <w:rPr>
          <w:rFonts w:hint="eastAsia"/>
        </w:rPr>
        <w:t>This project explores the development of a reinforcement learning (RL) stock trading bot using a Deep Q-Network (DQN) framework. The bot takes as input various stock indicators, macroeconomic data from the Federal Reserve Economic Database (FRED)</w:t>
      </w:r>
      <w:r>
        <w:rPr>
          <w:rFonts w:hint="default"/>
          <w:lang w:val="en-US"/>
        </w:rPr>
        <w:t xml:space="preserve"> [1]</w:t>
      </w:r>
      <w:r>
        <w:rPr>
          <w:rFonts w:hint="eastAsia"/>
        </w:rPr>
        <w:t xml:space="preserve">, and simulated account information. The DQN architecture leverages a policy network for action selection and a target network for stable learning, along with experience replay and an epsilon-greedy exploration strategy. Results indicate that while the DQN-based bot outperforms baseline strategies (e.g., buy-and-hold) during certain market conditions, </w:t>
      </w:r>
      <w:r>
        <w:rPr>
          <w:rFonts w:hint="default"/>
          <w:lang w:val="en-US"/>
        </w:rPr>
        <w:t xml:space="preserve">but still </w:t>
      </w:r>
      <w:r>
        <w:rPr>
          <w:rFonts w:hint="eastAsia"/>
        </w:rPr>
        <w:t>it sometimes underperforms when market dynamics shift. Future improvements include expanding the action space (partial positions, short selling, multi-asset trading) and training of model that consider multiple stocks at the same time.</w:t>
      </w:r>
    </w:p>
    <w:p w14:paraId="3F9CDE0E">
      <w:pPr>
        <w:pStyle w:val="35"/>
        <w:rPr>
          <w:rFonts w:hint="default"/>
          <w:lang w:val="en-US"/>
        </w:rPr>
      </w:pPr>
      <w:r>
        <w:t>Keywords—</w:t>
      </w:r>
      <w:r>
        <w:rPr>
          <w:rFonts w:hint="default"/>
          <w:lang w:val="en-US"/>
        </w:rPr>
        <w:t>RL, DQN, macro-economic data, Algorithmic Tarding</w:t>
      </w:r>
    </w:p>
    <w:p w14:paraId="7FFFA702">
      <w:pPr>
        <w:pStyle w:val="2"/>
      </w:pPr>
      <w:r>
        <w:t>Introduction</w:t>
      </w:r>
    </w:p>
    <w:p w14:paraId="0DB6F576">
      <w:pPr>
        <w:pStyle w:val="9"/>
      </w:pPr>
      <w:r>
        <w:rPr>
          <w:rFonts w:hint="eastAsia"/>
        </w:rPr>
        <w:t>Algorithmic trading and quantitative investing have garnered significant attention in both academic and industry settings. The ever-growing availability of high-frequency market data, combined with advances in computing power, makes data-driven decision-making approaches particularly appealing. Reinforcement Learning (RL), which focuses on learning optimal actions through trial-and-error interactions with an environment, offers a natural fit for stock trading—where decisions about buying, selling, or holding stocks translate into sequential actions with long-term implications. In this project, we integrate macroeconomic indicators from FRED, stock technical indicators, and simulated account information to create an environment suitable for a Deep Q-Network (DQN) agent. The research question we address is: Can a DQN-based RL agent</w:t>
      </w:r>
      <w:r>
        <w:rPr>
          <w:rFonts w:hint="default"/>
          <w:lang w:val="en-US"/>
        </w:rPr>
        <w:t xml:space="preserve"> utilizing macrod economic data</w:t>
      </w:r>
      <w:r>
        <w:rPr>
          <w:rFonts w:hint="eastAsia"/>
        </w:rPr>
        <w:t xml:space="preserve"> outperform naive strategies (e.g., buy-and-hold)?</w:t>
      </w:r>
    </w:p>
    <w:p w14:paraId="3EF35B8D">
      <w:pPr>
        <w:pStyle w:val="2"/>
      </w:pPr>
      <w:r>
        <w:rPr>
          <w:rFonts w:hint="default"/>
          <w:lang w:val="en-US"/>
        </w:rPr>
        <w:t>Objectives</w:t>
      </w:r>
    </w:p>
    <w:p w14:paraId="2A474F97">
      <w:pPr>
        <w:pStyle w:val="9"/>
        <w:numPr>
          <w:ilvl w:val="0"/>
          <w:numId w:val="8"/>
        </w:numPr>
        <w:tabs>
          <w:tab w:val="clear" w:pos="425"/>
        </w:tabs>
        <w:ind w:left="425" w:leftChars="0" w:hanging="425" w:firstLineChars="0"/>
        <w:rPr>
          <w:rFonts w:hint="eastAsia"/>
        </w:rPr>
      </w:pPr>
      <w:r>
        <w:rPr>
          <w:rFonts w:hint="eastAsia"/>
        </w:rPr>
        <w:t>To incorporate both technical and fundamental (macroeconomic) data into the RL state representation.</w:t>
      </w:r>
    </w:p>
    <w:p w14:paraId="3C758D53">
      <w:pPr>
        <w:pStyle w:val="9"/>
        <w:numPr>
          <w:ilvl w:val="0"/>
          <w:numId w:val="8"/>
        </w:numPr>
        <w:tabs>
          <w:tab w:val="clear" w:pos="425"/>
        </w:tabs>
        <w:ind w:left="425" w:leftChars="0" w:hanging="425" w:firstLineChars="0"/>
        <w:rPr>
          <w:rFonts w:hint="eastAsia"/>
        </w:rPr>
      </w:pPr>
      <w:r>
        <w:rPr>
          <w:rFonts w:hint="eastAsia"/>
        </w:rPr>
        <w:t>To implement and train a DQN-based RL agent that learns optimal trading actions over a wide timeframe (2000–20</w:t>
      </w:r>
      <w:r>
        <w:rPr>
          <w:rFonts w:hint="default"/>
          <w:lang w:val="en-US"/>
        </w:rPr>
        <w:t>20</w:t>
      </w:r>
      <w:r>
        <w:rPr>
          <w:rFonts w:hint="eastAsia"/>
        </w:rPr>
        <w:t>) and evaluate its performance (2020–2021, and 2020–2024).</w:t>
      </w:r>
    </w:p>
    <w:p w14:paraId="60A0A3DA">
      <w:pPr>
        <w:pStyle w:val="9"/>
        <w:numPr>
          <w:ilvl w:val="0"/>
          <w:numId w:val="8"/>
        </w:numPr>
        <w:tabs>
          <w:tab w:val="clear" w:pos="425"/>
        </w:tabs>
        <w:ind w:left="425" w:leftChars="0" w:hanging="425" w:firstLineChars="0"/>
        <w:rPr>
          <w:rFonts w:hint="eastAsia"/>
        </w:rPr>
      </w:pPr>
      <w:r>
        <w:rPr>
          <w:rFonts w:hint="eastAsia"/>
        </w:rPr>
        <w:t>To compare the RL agent’s performance to buy-and-hold strategies, as well as to previously tested RNN-based models. (the latter of which is not completed; due to lack of time for adaptation)</w:t>
      </w:r>
    </w:p>
    <w:p w14:paraId="4E992BC6">
      <w:pPr>
        <w:pStyle w:val="9"/>
      </w:pPr>
      <w:r>
        <w:rPr>
          <w:rFonts w:hint="eastAsia"/>
        </w:rPr>
        <w:t xml:space="preserve">The </w:t>
      </w:r>
      <w:r>
        <w:rPr>
          <w:rFonts w:hint="eastAsia"/>
          <w:b/>
          <w:bCs/>
        </w:rPr>
        <w:t>scope</w:t>
      </w:r>
      <w:r>
        <w:rPr>
          <w:rFonts w:hint="eastAsia"/>
        </w:rPr>
        <w:t xml:space="preserve"> of this study limited to single-stock trading decisions, and the agent either go all in or all out (doesn't consider partial positions). The significance lies in showcasing how reinforcement learning with market indicator &amp; macroeconomic signals is capable of outperforming buy-and-hold strategies.</w:t>
      </w:r>
    </w:p>
    <w:p w14:paraId="65313B9F">
      <w:pPr>
        <w:pStyle w:val="2"/>
      </w:pPr>
      <w:r>
        <w:rPr>
          <w:rFonts w:hint="default"/>
          <w:lang w:val="en-US"/>
        </w:rPr>
        <w:t>Literature Survey</w:t>
      </w:r>
    </w:p>
    <w:p w14:paraId="7064F88D">
      <w:pPr>
        <w:pStyle w:val="9"/>
        <w:rPr>
          <w:rFonts w:hint="eastAsia"/>
        </w:rPr>
      </w:pPr>
      <w:r>
        <w:rPr>
          <w:rFonts w:hint="eastAsia"/>
        </w:rPr>
        <w:t>I didn't peroform a literature survey on my own; Instead used a survey paper by Ali Alameer et al. (2022) [</w:t>
      </w:r>
      <w:r>
        <w:rPr>
          <w:rFonts w:hint="default"/>
          <w:lang w:val="en-US"/>
        </w:rPr>
        <w:t>2</w:t>
      </w:r>
      <w:r>
        <w:rPr>
          <w:rFonts w:hint="eastAsia"/>
        </w:rPr>
        <w:t>] as a reference. From which I explored L. Chen &amp; Q. Gao (2019) [</w:t>
      </w:r>
      <w:r>
        <w:rPr>
          <w:rFonts w:hint="default"/>
          <w:lang w:val="en-US"/>
        </w:rPr>
        <w:t>3</w:t>
      </w:r>
      <w:r>
        <w:rPr>
          <w:rFonts w:hint="eastAsia"/>
        </w:rPr>
        <w:t xml:space="preserve">] </w:t>
      </w:r>
      <w:r>
        <w:rPr>
          <w:rFonts w:hint="eastAsia"/>
          <w:i/>
          <w:iCs/>
        </w:rPr>
        <w:t>Application of Deep Reinforcement Learning on Automated Stock Trading</w:t>
      </w:r>
      <w:r>
        <w:rPr>
          <w:rFonts w:hint="eastAsia"/>
        </w:rPr>
        <w:t xml:space="preserve"> as a reference for the DQN algorithm and general consideration in implementation.</w:t>
      </w:r>
    </w:p>
    <w:p w14:paraId="4878948E">
      <w:pPr>
        <w:pStyle w:val="9"/>
      </w:pPr>
      <w:r>
        <w:rPr>
          <w:rFonts w:hint="eastAsia"/>
          <w:b/>
          <w:bCs/>
        </w:rPr>
        <w:t>Previous RNN-based attempts</w:t>
      </w:r>
      <w:r>
        <w:rPr>
          <w:rFonts w:hint="eastAsia"/>
        </w:rPr>
        <w:t xml:space="preserve">: Prior attempts using RNN for price prediction underperformed, possibly due to a mismatch in time-series modeling vs. sequential decision making. An RL approach directly focuses on the reward structure of trading, which may provide better results. The codebase can be found in </w:t>
      </w:r>
      <w:r>
        <w:rPr>
          <w:rFonts w:hint="default"/>
          <w:lang w:val="en-US"/>
        </w:rPr>
        <w:t>“</w:t>
      </w:r>
      <w:r>
        <w:rPr>
          <w:rFonts w:hint="eastAsia"/>
        </w:rPr>
        <w:t>/depricated/</w:t>
      </w:r>
      <w:r>
        <w:rPr>
          <w:rFonts w:hint="default"/>
          <w:lang w:val="en-US"/>
        </w:rPr>
        <w:t>”</w:t>
      </w:r>
      <w:r>
        <w:rPr>
          <w:rFonts w:hint="eastAsia"/>
        </w:rPr>
        <w:t xml:space="preserve"> folder of the project's codebase.</w:t>
      </w:r>
    </w:p>
    <w:p w14:paraId="54E7EC78">
      <w:pPr>
        <w:pStyle w:val="2"/>
      </w:pPr>
      <w:r>
        <w:rPr>
          <w:rFonts w:hint="default"/>
          <w:lang w:val="en-US"/>
        </w:rPr>
        <w:t>Data Collection And Processing</w:t>
      </w:r>
    </w:p>
    <w:p w14:paraId="60678C1C">
      <w:pPr>
        <w:pStyle w:val="9"/>
      </w:pPr>
      <w:r>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5489CF95">
      <w:pPr>
        <w:pStyle w:val="3"/>
        <w:rPr>
          <w:rFonts w:hint="eastAsia"/>
        </w:rPr>
      </w:pPr>
      <w:r>
        <w:rPr>
          <w:rFonts w:hint="eastAsia"/>
        </w:rPr>
        <w:t>Data Collection</w:t>
      </w:r>
    </w:p>
    <w:p w14:paraId="6553C332">
      <w:pPr>
        <w:pStyle w:val="4"/>
        <w:bidi w:val="0"/>
        <w:ind w:left="0" w:leftChars="0" w:firstLine="180" w:firstLineChars="0"/>
        <w:rPr>
          <w:rFonts w:hint="eastAsia"/>
          <w:i w:val="0"/>
          <w:iCs w:val="0"/>
        </w:rPr>
      </w:pPr>
      <w:r>
        <w:rPr>
          <w:rFonts w:hint="eastAsia"/>
          <w:i/>
          <w:iCs/>
        </w:rPr>
        <w:t>Stock Candle Data</w:t>
      </w:r>
      <w:r>
        <w:rPr>
          <w:rFonts w:hint="eastAsia"/>
          <w:i/>
          <w:iCs/>
        </w:rPr>
        <w:br w:type="textWrapping"/>
      </w:r>
      <w:r>
        <w:rPr>
          <w:rFonts w:hint="default"/>
          <w:i/>
          <w:iCs/>
          <w:lang w:val="en-US"/>
        </w:rPr>
        <w:tab/>
      </w:r>
      <w:r>
        <w:rPr>
          <w:rFonts w:hint="eastAsia"/>
          <w:i w:val="0"/>
          <w:iCs w:val="0"/>
        </w:rPr>
        <w:t>Minute-level stock data from Alpaca-trade API; eventually switched to daily data from Yahoo Finance (yfinance)</w:t>
      </w:r>
      <w:r>
        <w:rPr>
          <w:rFonts w:hint="default"/>
          <w:i w:val="0"/>
          <w:iCs w:val="0"/>
          <w:lang w:val="en-US"/>
        </w:rPr>
        <w:t xml:space="preserve"> [4]</w:t>
      </w:r>
      <w:r>
        <w:rPr>
          <w:rFonts w:hint="eastAsia"/>
          <w:i w:val="0"/>
          <w:iCs w:val="0"/>
        </w:rPr>
        <w:t>, since the macroeconomic data is more suitable for intraday trading (as opposed to more frequent trading).</w:t>
      </w:r>
    </w:p>
    <w:p w14:paraId="4C7A5264">
      <w:pPr>
        <w:pStyle w:val="4"/>
        <w:bidi w:val="0"/>
        <w:ind w:left="0" w:leftChars="0" w:firstLine="180" w:firstLineChars="0"/>
        <w:rPr>
          <w:rFonts w:hint="eastAsia"/>
        </w:rPr>
      </w:pPr>
      <w:r>
        <w:rPr>
          <w:rFonts w:hint="eastAsia"/>
        </w:rPr>
        <w:t>Stock Considered</w:t>
      </w:r>
      <w:r>
        <w:rPr>
          <w:rFonts w:hint="eastAsia"/>
        </w:rPr>
        <w:br w:type="textWrapping"/>
      </w:r>
      <w:r>
        <w:rPr>
          <w:rFonts w:hint="default"/>
          <w:lang w:val="en-US"/>
        </w:rPr>
        <w:tab/>
      </w:r>
      <w:r>
        <w:rPr>
          <w:rFonts w:hint="eastAsia"/>
          <w:i w:val="0"/>
          <w:iCs w:val="0"/>
        </w:rPr>
        <w:t xml:space="preserve">Initially top 50 volume stocks from the S&amp;P 500. Initially went with current top 50 volume stock from S&amp;P500; Later realized taht this likely is not a good idea, since these stock doesn't represent the market as a whole very well, and they likely have experience more growth in general than the market as a whole.Later switched to all stocks added in the S&amp;P 500 prior to 2000 and not yet removed (*this left a set of 177 stocks*).  </w:t>
      </w:r>
    </w:p>
    <w:p w14:paraId="794BA53E">
      <w:pPr>
        <w:pStyle w:val="4"/>
        <w:bidi w:val="0"/>
        <w:ind w:left="0" w:leftChars="0" w:firstLine="180" w:firstLineChars="0"/>
        <w:rPr>
          <w:rFonts w:hint="eastAsia"/>
        </w:rPr>
      </w:pPr>
      <w:r>
        <w:rPr>
          <w:rFonts w:hint="eastAsia"/>
        </w:rPr>
        <w:t xml:space="preserve">Macroeconomic Data from FRED  </w:t>
      </w:r>
    </w:p>
    <w:p w14:paraId="50A8D4A9">
      <w:pPr>
        <w:pStyle w:val="5"/>
        <w:bidi w:val="0"/>
        <w:ind w:left="0" w:leftChars="0" w:firstLine="360" w:firstLineChars="0"/>
        <w:rPr>
          <w:rFonts w:hint="eastAsia"/>
          <w:i w:val="0"/>
          <w:iCs w:val="0"/>
        </w:rPr>
      </w:pPr>
      <w:r>
        <w:rPr>
          <w:rFonts w:hint="eastAsia"/>
          <w:i/>
          <w:iCs/>
        </w:rPr>
        <w:t>Federal Funds</w:t>
      </w:r>
      <w:r>
        <w:rPr>
          <w:rFonts w:hint="default"/>
          <w:i/>
          <w:iCs/>
          <w:lang w:val="en-US"/>
        </w:rPr>
        <w:t xml:space="preserve"> Effective</w:t>
      </w:r>
      <w:r>
        <w:rPr>
          <w:rFonts w:hint="eastAsia"/>
          <w:i/>
          <w:iCs/>
        </w:rPr>
        <w:t xml:space="preserve"> Rate </w:t>
      </w:r>
      <w:r>
        <w:rPr>
          <w:rFonts w:hint="default"/>
          <w:i/>
          <w:iCs/>
          <w:lang w:val="en-US"/>
        </w:rPr>
        <w:t>[5]</w:t>
      </w:r>
      <w:r>
        <w:rPr>
          <w:rFonts w:hint="eastAsia"/>
          <w:i/>
          <w:iCs/>
        </w:rPr>
        <w:br w:type="textWrapping"/>
      </w:r>
      <w:r>
        <w:rPr>
          <w:rFonts w:hint="default"/>
          <w:i/>
          <w:iCs/>
          <w:lang w:val="en-US"/>
        </w:rPr>
        <w:tab/>
      </w:r>
      <w:r>
        <w:rPr>
          <w:rFonts w:hint="eastAsia"/>
          <w:i w:val="0"/>
          <w:iCs w:val="0"/>
        </w:rPr>
        <w:t>The Federal Funds Rate is a key interest rate that influences the cost of borrowing money in the United States. It is the rate at which banks lend to each other overnight to meet reserve requirements.</w:t>
      </w:r>
    </w:p>
    <w:p w14:paraId="5240C022">
      <w:pPr>
        <w:pStyle w:val="5"/>
        <w:bidi w:val="0"/>
        <w:ind w:left="0" w:leftChars="0" w:firstLine="360" w:firstLineChars="0"/>
        <w:rPr>
          <w:rFonts w:hint="eastAsia"/>
          <w:i w:val="0"/>
          <w:iCs w:val="0"/>
        </w:rPr>
      </w:pPr>
      <w:r>
        <w:rPr>
          <w:rFonts w:hint="eastAsia"/>
          <w:i/>
          <w:iCs/>
        </w:rPr>
        <w:t>University of Michigan Consumer Sentiment</w:t>
      </w:r>
      <w:r>
        <w:rPr>
          <w:rFonts w:hint="default"/>
          <w:i/>
          <w:iCs/>
          <w:lang w:val="en-US"/>
        </w:rPr>
        <w:t xml:space="preserve"> [6]</w:t>
      </w:r>
      <w:r>
        <w:rPr>
          <w:rFonts w:hint="eastAsia"/>
          <w:i/>
          <w:iCs/>
        </w:rPr>
        <w:br w:type="textWrapping"/>
      </w:r>
      <w:r>
        <w:rPr>
          <w:rFonts w:hint="default"/>
          <w:i w:val="0"/>
          <w:iCs w:val="0"/>
          <w:lang w:val="en-US"/>
        </w:rPr>
        <w:tab/>
      </w:r>
      <w:r>
        <w:rPr>
          <w:rFonts w:hint="eastAsia"/>
          <w:i w:val="0"/>
          <w:iCs w:val="0"/>
        </w:rPr>
        <w:t>This index measures consumer sentiment about the economy and personal finances.</w:t>
      </w:r>
    </w:p>
    <w:p w14:paraId="47242A00">
      <w:pPr>
        <w:pStyle w:val="5"/>
        <w:bidi w:val="0"/>
        <w:ind w:left="0" w:leftChars="0" w:firstLine="360" w:firstLineChars="0"/>
        <w:rPr>
          <w:rFonts w:hint="eastAsia"/>
          <w:i w:val="0"/>
          <w:iCs w:val="0"/>
        </w:rPr>
      </w:pPr>
      <w:r>
        <w:rPr>
          <w:rFonts w:hint="eastAsia"/>
          <w:i/>
          <w:iCs/>
        </w:rPr>
        <w:t>Consumer Price Index (CPI) for All Urban Consumers</w:t>
      </w:r>
      <w:r>
        <w:rPr>
          <w:rFonts w:hint="default"/>
          <w:i/>
          <w:iCs/>
          <w:lang w:val="en-US"/>
        </w:rPr>
        <w:t xml:space="preserve"> [7]</w:t>
      </w:r>
      <w:r>
        <w:rPr>
          <w:rFonts w:hint="eastAsia"/>
          <w:i/>
          <w:iCs/>
        </w:rPr>
        <w:br w:type="textWrapping"/>
      </w:r>
      <w:r>
        <w:rPr>
          <w:rFonts w:hint="default"/>
          <w:i/>
          <w:iCs/>
          <w:lang w:val="en-US"/>
        </w:rPr>
        <w:tab/>
      </w:r>
      <w:r>
        <w:rPr>
          <w:rFonts w:hint="eastAsia"/>
          <w:i w:val="0"/>
          <w:iCs w:val="0"/>
        </w:rPr>
        <w:t>This index tracks the average change in prices for a basket of goods and services purchased by urban consumers.</w:t>
      </w:r>
    </w:p>
    <w:p w14:paraId="2CCE8809">
      <w:pPr>
        <w:pStyle w:val="5"/>
        <w:bidi w:val="0"/>
        <w:ind w:left="0" w:leftChars="0" w:firstLine="360" w:firstLineChars="0"/>
        <w:rPr>
          <w:rFonts w:hint="eastAsia"/>
          <w:i w:val="0"/>
          <w:iCs w:val="0"/>
        </w:rPr>
      </w:pPr>
      <w:r>
        <w:rPr>
          <w:rFonts w:hint="eastAsia"/>
        </w:rPr>
        <w:t xml:space="preserve">Retail </w:t>
      </w:r>
      <w:r>
        <w:rPr>
          <w:rFonts w:hint="default"/>
          <w:lang w:val="en-US"/>
        </w:rPr>
        <w:t>Sales [8]</w:t>
      </w:r>
      <w:r>
        <w:rPr>
          <w:rFonts w:hint="default"/>
          <w:lang w:val="en-US"/>
        </w:rPr>
        <w:br w:type="textWrapping"/>
      </w:r>
      <w:r>
        <w:rPr>
          <w:rFonts w:hint="default"/>
          <w:lang w:val="en-US"/>
        </w:rPr>
        <w:tab/>
      </w:r>
      <w:r>
        <w:rPr>
          <w:rFonts w:hint="eastAsia"/>
          <w:i w:val="0"/>
          <w:iCs w:val="0"/>
        </w:rPr>
        <w:t>This measures the total sales of retail goods and services, including online sales.</w:t>
      </w:r>
    </w:p>
    <w:p w14:paraId="17AAC947">
      <w:pPr>
        <w:pStyle w:val="5"/>
        <w:bidi w:val="0"/>
        <w:ind w:left="0" w:leftChars="0" w:firstLine="360" w:firstLineChars="0"/>
        <w:rPr>
          <w:rFonts w:hint="eastAsia"/>
        </w:rPr>
      </w:pPr>
      <w:r>
        <w:rPr>
          <w:rFonts w:hint="eastAsia"/>
          <w:i/>
          <w:iCs/>
        </w:rPr>
        <w:t>Capacity Utilization: Total Index</w:t>
      </w:r>
      <w:r>
        <w:rPr>
          <w:rFonts w:hint="default"/>
          <w:i/>
          <w:iCs/>
          <w:lang w:val="en-US"/>
        </w:rPr>
        <w:t xml:space="preserve"> [9]</w:t>
      </w:r>
      <w:r>
        <w:rPr>
          <w:rFonts w:hint="eastAsia"/>
          <w:i/>
          <w:iCs/>
        </w:rPr>
        <w:br w:type="textWrapping"/>
      </w:r>
      <w:r>
        <w:rPr>
          <w:rFonts w:hint="default"/>
          <w:i/>
          <w:iCs/>
          <w:lang w:val="en-US"/>
        </w:rPr>
        <w:tab/>
      </w:r>
      <w:r>
        <w:rPr>
          <w:rFonts w:hint="eastAsia"/>
          <w:i w:val="0"/>
          <w:iCs w:val="0"/>
        </w:rPr>
        <w:t>This index measures the percentage of total potential output that is being used, indicating how much of the economy's resources are being utilized.</w:t>
      </w:r>
      <w:r>
        <w:rPr>
          <w:rFonts w:hint="eastAsia"/>
          <w:i w:val="0"/>
          <w:iCs w:val="0"/>
        </w:rPr>
        <w:br w:type="textWrapping"/>
      </w:r>
      <w:r>
        <w:rPr>
          <w:rFonts w:hint="eastAsia"/>
          <w:i w:val="0"/>
          <w:iCs w:val="0"/>
        </w:rPr>
        <w:br w:type="textWrapping"/>
      </w:r>
      <w:r>
        <w:rPr>
          <w:rFonts w:hint="eastAsia"/>
          <w:i w:val="0"/>
          <w:iCs w:val="0"/>
        </w:rPr>
        <w:t>More macroeconomic data remain to be added; This is probably not a good set, would require help from economist for advice on an influential set of macroeconomic data.</w:t>
      </w:r>
    </w:p>
    <w:p w14:paraId="4F5D19F0">
      <w:pPr>
        <w:pStyle w:val="3"/>
        <w:bidi w:val="0"/>
        <w:ind w:left="288" w:leftChars="0" w:hanging="288" w:firstLineChars="0"/>
        <w:rPr>
          <w:rFonts w:hint="eastAsia"/>
        </w:rPr>
      </w:pPr>
      <w:r>
        <w:rPr>
          <w:rFonts w:hint="eastAsia"/>
        </w:rPr>
        <w:t xml:space="preserve">Data Preprocessing &amp; Feature Engineering  </w:t>
      </w:r>
    </w:p>
    <w:p w14:paraId="7A54FC4F">
      <w:pPr>
        <w:pStyle w:val="4"/>
        <w:bidi w:val="0"/>
        <w:ind w:left="0" w:leftChars="0" w:firstLine="180" w:firstLineChars="0"/>
        <w:rPr>
          <w:rFonts w:hint="eastAsia"/>
          <w:i w:val="0"/>
          <w:iCs w:val="0"/>
        </w:rPr>
      </w:pPr>
      <w:r>
        <w:rPr>
          <w:rFonts w:hint="eastAsia"/>
        </w:rPr>
        <w:t>Technical Indicators</w:t>
      </w:r>
      <w:r>
        <w:rPr>
          <w:rFonts w:hint="eastAsia"/>
        </w:rPr>
        <w:br w:type="textWrapping"/>
      </w:r>
      <w:r>
        <w:rPr>
          <w:rFonts w:hint="default"/>
          <w:lang w:val="en-US"/>
        </w:rPr>
        <w:tab/>
      </w:r>
      <w:r>
        <w:rPr>
          <w:rFonts w:hint="eastAsia"/>
          <w:i w:val="0"/>
          <w:iCs w:val="0"/>
        </w:rPr>
        <w:t>Technical indicators including price trends, price channels, oscillators, stop-and-reverse signals, and candlestick patterns. The calculation of these indicators are done using the `stock-indicators` python package</w:t>
      </w:r>
      <w:r>
        <w:rPr>
          <w:rFonts w:hint="default"/>
          <w:i w:val="0"/>
          <w:iCs w:val="0"/>
          <w:lang w:val="en-US"/>
        </w:rPr>
        <w:t xml:space="preserve"> [10]</w:t>
      </w:r>
      <w:r>
        <w:rPr>
          <w:rFonts w:hint="eastAsia"/>
          <w:i w:val="0"/>
          <w:iCs w:val="0"/>
        </w:rPr>
        <w:t>.</w:t>
      </w:r>
    </w:p>
    <w:p w14:paraId="2B4CD8C1">
      <w:pPr>
        <w:pStyle w:val="4"/>
        <w:bidi w:val="0"/>
        <w:ind w:left="0" w:leftChars="0" w:firstLine="180" w:firstLineChars="0"/>
        <w:rPr>
          <w:rFonts w:hint="eastAsia"/>
        </w:rPr>
      </w:pPr>
      <w:r>
        <w:rPr>
          <w:rFonts w:hint="eastAsia"/>
        </w:rPr>
        <w:t xml:space="preserve">Data Splits  </w:t>
      </w:r>
      <w:r>
        <w:rPr>
          <w:rFonts w:hint="eastAsia"/>
        </w:rPr>
        <w:br w:type="textWrapping"/>
      </w:r>
      <w:r>
        <w:rPr>
          <w:rFonts w:hint="default"/>
          <w:lang w:val="en-US"/>
        </w:rPr>
        <w:tab/>
      </w:r>
      <w:r>
        <w:rPr>
          <w:rFonts w:hint="eastAsia"/>
          <w:i w:val="0"/>
          <w:iCs w:val="0"/>
        </w:rPr>
        <w:t>Training*: 2000-01 to 2019-</w:t>
      </w:r>
      <w:r>
        <w:rPr>
          <w:rFonts w:hint="default"/>
          <w:i w:val="0"/>
          <w:iCs w:val="0"/>
          <w:lang w:val="en-US"/>
        </w:rPr>
        <w:t>12</w:t>
      </w:r>
      <w:r>
        <w:rPr>
          <w:rFonts w:hint="default"/>
          <w:i w:val="0"/>
          <w:iCs w:val="0"/>
          <w:lang w:val="en-US"/>
        </w:rPr>
        <w:br w:type="textWrapping"/>
      </w:r>
      <w:r>
        <w:rPr>
          <w:rFonts w:hint="default"/>
          <w:i w:val="0"/>
          <w:iCs w:val="0"/>
          <w:lang w:val="en-US"/>
        </w:rPr>
        <w:tab/>
      </w:r>
      <w:r>
        <w:rPr>
          <w:rFonts w:hint="eastAsia"/>
          <w:i w:val="0"/>
          <w:iCs w:val="0"/>
        </w:rPr>
        <w:t xml:space="preserve">Testing*: 2020-01 to 2021-01 (primary out-of-sample test); additional test 2020-01 to 2024-01.  </w:t>
      </w:r>
    </w:p>
    <w:p w14:paraId="34AF2BD8">
      <w:pPr>
        <w:pStyle w:val="4"/>
        <w:bidi w:val="0"/>
        <w:ind w:left="0" w:leftChars="0" w:firstLine="180" w:firstLineChars="0"/>
        <w:rPr>
          <w:rFonts w:hint="eastAsia"/>
        </w:rPr>
      </w:pPr>
      <w:r>
        <w:rPr>
          <w:rFonts w:hint="eastAsia"/>
        </w:rPr>
        <w:t>Normalization</w:t>
      </w:r>
      <w:r>
        <w:rPr>
          <w:rFonts w:hint="eastAsia"/>
        </w:rPr>
        <w:br w:type="textWrapping"/>
      </w:r>
      <w:r>
        <w:rPr>
          <w:rFonts w:hint="default"/>
          <w:lang w:val="en-US"/>
        </w:rPr>
        <w:tab/>
      </w:r>
      <w:r>
        <w:rPr>
          <w:rFonts w:hint="eastAsia"/>
          <w:i w:val="0"/>
          <w:iCs w:val="0"/>
        </w:rPr>
        <w:t>Applied feature scaling to technical and macroeconomic indicators. Most are normalized with respect to the close price of the stock, and others are normalized using mean and standard deviation according to what they model</w:t>
      </w:r>
      <w:r>
        <w:rPr>
          <w:rFonts w:hint="default"/>
          <w:i w:val="0"/>
          <w:iCs w:val="0"/>
          <w:lang w:val="en-US"/>
        </w:rPr>
        <w:t>.</w:t>
      </w:r>
    </w:p>
    <w:p w14:paraId="745084FF">
      <w:pPr>
        <w:pStyle w:val="4"/>
        <w:bidi w:val="0"/>
        <w:ind w:left="0" w:leftChars="0" w:firstLine="180" w:firstLineChars="0"/>
        <w:rPr>
          <w:i w:val="0"/>
          <w:iCs w:val="0"/>
        </w:rPr>
      </w:pPr>
      <w:r>
        <w:rPr>
          <w:rFonts w:hint="eastAsia"/>
        </w:rPr>
        <w:t>Feature Dimensionality</w:t>
      </w:r>
      <w:r>
        <w:rPr>
          <w:rFonts w:hint="eastAsia"/>
        </w:rPr>
        <w:br w:type="textWrapping"/>
      </w:r>
      <w:r>
        <w:rPr>
          <w:rFonts w:hint="default"/>
          <w:lang w:val="en-US"/>
        </w:rPr>
        <w:tab/>
      </w:r>
      <w:r>
        <w:rPr>
          <w:rFonts w:hint="eastAsia"/>
          <w:i w:val="0"/>
          <w:iCs w:val="0"/>
        </w:rPr>
        <w:t>State vector includes technical indicators, macro variables, and account info (e.g., cash balance, current position)</w:t>
      </w:r>
      <w:r>
        <w:rPr>
          <w:rFonts w:hint="default"/>
          <w:i w:val="0"/>
          <w:iCs w:val="0"/>
          <w:lang w:val="en-US"/>
        </w:rPr>
        <w:t xml:space="preserve">. </w:t>
      </w:r>
      <w:r>
        <w:rPr>
          <w:rFonts w:hint="eastAsia"/>
          <w:i w:val="0"/>
          <w:iCs w:val="0"/>
        </w:rPr>
        <w:t>The current version has a state of 17(indicators)+15(macro) = 32 features.</w:t>
      </w:r>
    </w:p>
    <w:p w14:paraId="07C4C14D">
      <w:pPr>
        <w:pStyle w:val="6"/>
        <w:rPr>
          <w:rFonts w:hint="default"/>
          <w:lang w:val="en-US"/>
        </w:rPr>
      </w:pPr>
      <w:r>
        <w:rPr>
          <w:rFonts w:hint="default"/>
          <w:lang w:val="en-US"/>
        </w:rPr>
        <w:t>DQN Implementation</w:t>
      </w:r>
    </w:p>
    <w:p w14:paraId="4FB274F1">
      <w:pPr>
        <w:jc w:val="both"/>
        <w:rPr>
          <w:rFonts w:hint="default"/>
          <w:lang w:val="en-US"/>
        </w:rPr>
      </w:pPr>
      <w:r>
        <w:rPr>
          <w:rFonts w:hint="default"/>
          <w:lang w:val="en-US"/>
        </w:rPr>
        <w:t>I used a relatively naive implementation of DQN:</w:t>
      </w:r>
    </w:p>
    <w:p w14:paraId="07505E01">
      <w:pPr>
        <w:pStyle w:val="3"/>
        <w:numPr>
          <w:ilvl w:val="0"/>
          <w:numId w:val="9"/>
        </w:numPr>
        <w:tabs>
          <w:tab w:val="clear" w:pos="425"/>
        </w:tabs>
        <w:bidi w:val="0"/>
        <w:ind w:left="425" w:leftChars="0" w:hanging="425" w:firstLineChars="0"/>
        <w:rPr>
          <w:rFonts w:hint="default"/>
          <w:i/>
          <w:iCs/>
          <w:lang w:val="en-US"/>
        </w:rPr>
      </w:pPr>
      <w:r>
        <w:rPr>
          <w:rFonts w:hint="default"/>
          <w:i/>
          <w:iCs/>
          <w:lang w:val="en-US"/>
        </w:rPr>
        <w:t>Policy/Target Network</w:t>
      </w:r>
    </w:p>
    <w:p w14:paraId="38A1A3F5">
      <w:pPr>
        <w:pStyle w:val="3"/>
        <w:numPr>
          <w:ilvl w:val="1"/>
          <w:numId w:val="9"/>
        </w:numPr>
        <w:tabs>
          <w:tab w:val="clear" w:pos="840"/>
        </w:tabs>
        <w:bidi w:val="0"/>
        <w:ind w:left="845" w:leftChars="0" w:hanging="425" w:firstLineChars="0"/>
        <w:rPr>
          <w:rFonts w:hint="default"/>
          <w:i w:val="0"/>
          <w:iCs w:val="0"/>
          <w:lang w:val="en-US"/>
        </w:rPr>
      </w:pPr>
      <w:r>
        <w:rPr>
          <w:rFonts w:hint="default"/>
          <w:i w:val="0"/>
          <w:iCs w:val="0"/>
          <w:lang w:val="en-US"/>
        </w:rPr>
        <w:t>a naive 3 layer fully connected NN used in target and policy network of DQN</w:t>
      </w:r>
    </w:p>
    <w:p w14:paraId="4416DEE6">
      <w:pPr>
        <w:pStyle w:val="3"/>
        <w:numPr>
          <w:ilvl w:val="1"/>
          <w:numId w:val="9"/>
        </w:numPr>
        <w:tabs>
          <w:tab w:val="clear" w:pos="840"/>
        </w:tabs>
        <w:bidi w:val="0"/>
        <w:ind w:left="845" w:leftChars="0" w:hanging="425" w:firstLineChars="0"/>
        <w:rPr>
          <w:rFonts w:hint="eastAsia"/>
          <w:i w:val="0"/>
          <w:iCs w:val="0"/>
        </w:rPr>
      </w:pPr>
      <w:r>
        <w:rPr>
          <w:rFonts w:hint="default"/>
          <w:i w:val="0"/>
          <w:iCs w:val="0"/>
          <w:lang w:val="en-US"/>
        </w:rPr>
        <w:t>Input layer: 32(#feature)+2(account information: relative cash storage, average position price)=34 input, 64 output.</w:t>
      </w:r>
    </w:p>
    <w:p w14:paraId="6555F5A7">
      <w:pPr>
        <w:pStyle w:val="3"/>
        <w:numPr>
          <w:ilvl w:val="1"/>
          <w:numId w:val="9"/>
        </w:numPr>
        <w:tabs>
          <w:tab w:val="clear" w:pos="840"/>
        </w:tabs>
        <w:bidi w:val="0"/>
        <w:ind w:left="845" w:leftChars="0" w:hanging="425" w:firstLineChars="0"/>
        <w:rPr>
          <w:rFonts w:hint="eastAsia"/>
        </w:rPr>
      </w:pPr>
      <w:r>
        <w:rPr>
          <w:rFonts w:hint="default"/>
          <w:i w:val="0"/>
          <w:iCs w:val="0"/>
        </w:rPr>
        <w:t xml:space="preserve">Hidden layers: </w:t>
      </w:r>
      <w:r>
        <w:rPr>
          <w:rFonts w:hint="default"/>
          <w:i w:val="0"/>
          <w:iCs w:val="0"/>
          <w:lang w:val="en-US"/>
        </w:rPr>
        <w:t xml:space="preserve">One </w:t>
      </w:r>
      <w:r>
        <w:rPr>
          <w:rFonts w:hint="default"/>
          <w:i w:val="0"/>
          <w:iCs w:val="0"/>
        </w:rPr>
        <w:t>fully connected layers with 64 units, ReLU activation</w:t>
      </w:r>
      <w:r>
        <w:rPr>
          <w:rFonts w:hint="default"/>
          <w:i w:val="0"/>
          <w:iCs w:val="0"/>
          <w:lang w:val="en-US"/>
        </w:rPr>
        <w:t>.</w:t>
      </w:r>
    </w:p>
    <w:p w14:paraId="2FBC7418">
      <w:pPr>
        <w:pStyle w:val="3"/>
        <w:numPr>
          <w:ilvl w:val="1"/>
          <w:numId w:val="9"/>
        </w:numPr>
        <w:tabs>
          <w:tab w:val="clear" w:pos="840"/>
        </w:tabs>
        <w:bidi w:val="0"/>
        <w:ind w:left="845" w:leftChars="0" w:hanging="425" w:firstLineChars="0"/>
        <w:rPr>
          <w:rFonts w:hint="eastAsia"/>
          <w:i w:val="0"/>
          <w:iCs w:val="0"/>
        </w:rPr>
      </w:pPr>
      <w:r>
        <w:rPr>
          <w:rFonts w:hint="default"/>
          <w:i w:val="0"/>
          <w:iCs w:val="0"/>
        </w:rPr>
        <w:t>Output</w:t>
      </w:r>
      <w:r>
        <w:rPr>
          <w:rFonts w:hint="default"/>
          <w:i w:val="0"/>
          <w:iCs w:val="0"/>
          <w:lang w:val="en-US"/>
        </w:rPr>
        <w:t xml:space="preserve"> layer</w:t>
      </w:r>
      <w:r>
        <w:rPr>
          <w:rFonts w:hint="default"/>
          <w:i w:val="0"/>
          <w:iCs w:val="0"/>
        </w:rPr>
        <w:t xml:space="preserve">: </w:t>
      </w:r>
      <w:r>
        <w:rPr>
          <w:rFonts w:hint="default"/>
          <w:i w:val="0"/>
          <w:iCs w:val="0"/>
          <w:lang w:val="en-US"/>
        </w:rPr>
        <w:t xml:space="preserve">Taking 64 input, output </w:t>
      </w:r>
      <w:r>
        <w:rPr>
          <w:rFonts w:hint="default"/>
          <w:i w:val="0"/>
          <w:iCs w:val="0"/>
        </w:rPr>
        <w:t>3 Q-values corresponding to the discrete actions (hold, buy, sell).</w:t>
      </w:r>
    </w:p>
    <w:p w14:paraId="6111C7C5">
      <w:pPr>
        <w:pStyle w:val="3"/>
        <w:numPr>
          <w:ilvl w:val="0"/>
          <w:numId w:val="9"/>
        </w:numPr>
        <w:tabs>
          <w:tab w:val="clear" w:pos="425"/>
        </w:tabs>
        <w:bidi w:val="0"/>
        <w:ind w:left="425" w:leftChars="0" w:hanging="425" w:firstLineChars="0"/>
        <w:rPr>
          <w:rFonts w:hint="default"/>
          <w:i/>
          <w:iCs/>
          <w:lang w:val="en-US"/>
        </w:rPr>
      </w:pPr>
      <w:r>
        <w:rPr>
          <w:rFonts w:hint="default"/>
          <w:i/>
          <w:iCs/>
          <w:lang w:val="en-US"/>
        </w:rPr>
        <w:t>Deep Q Network</w:t>
      </w:r>
    </w:p>
    <w:p w14:paraId="508D6626">
      <w:pPr>
        <w:pStyle w:val="3"/>
        <w:numPr>
          <w:ilvl w:val="1"/>
          <w:numId w:val="9"/>
        </w:numPr>
        <w:tabs>
          <w:tab w:val="clear" w:pos="840"/>
        </w:tabs>
        <w:bidi w:val="0"/>
        <w:ind w:left="845" w:leftChars="0" w:hanging="425" w:firstLineChars="0"/>
        <w:rPr>
          <w:rFonts w:hint="eastAsia"/>
          <w:i w:val="0"/>
          <w:iCs w:val="0"/>
        </w:rPr>
      </w:pPr>
      <w:r>
        <w:rPr>
          <w:rFonts w:hint="default"/>
          <w:i w:val="0"/>
          <w:iCs w:val="0"/>
        </w:rPr>
        <w:t>Experience Replay: Stores tuples (state, action, reward, next_state, done) in a replay buffer. Random sampling breaks correlation and improves data efficiency.</w:t>
      </w:r>
    </w:p>
    <w:p w14:paraId="51DF036C">
      <w:pPr>
        <w:pStyle w:val="3"/>
        <w:numPr>
          <w:ilvl w:val="1"/>
          <w:numId w:val="9"/>
        </w:numPr>
        <w:tabs>
          <w:tab w:val="clear" w:pos="840"/>
        </w:tabs>
        <w:bidi w:val="0"/>
        <w:ind w:left="845" w:leftChars="0" w:hanging="425" w:firstLineChars="0"/>
        <w:rPr>
          <w:rFonts w:hint="eastAsia"/>
          <w:i w:val="0"/>
          <w:iCs w:val="0"/>
        </w:rPr>
      </w:pPr>
      <w:r>
        <w:rPr>
          <w:rFonts w:hint="default"/>
          <w:i w:val="0"/>
          <w:iCs w:val="0"/>
        </w:rPr>
        <w:t>Target Network: Periodically updated to match weights of the policy network, stabilizing training.</w:t>
      </w:r>
    </w:p>
    <w:p w14:paraId="5121F7F1">
      <w:pPr>
        <w:pStyle w:val="3"/>
        <w:numPr>
          <w:ilvl w:val="1"/>
          <w:numId w:val="9"/>
        </w:numPr>
        <w:tabs>
          <w:tab w:val="clear" w:pos="840"/>
        </w:tabs>
        <w:bidi w:val="0"/>
        <w:ind w:left="845" w:leftChars="0" w:hanging="425" w:firstLineChars="0"/>
        <w:rPr>
          <w:rFonts w:hint="eastAsia"/>
          <w:i w:val="0"/>
          <w:iCs w:val="0"/>
        </w:rPr>
      </w:pPr>
      <w:r>
        <w:rPr>
          <w:rFonts w:hint="default"/>
          <w:i w:val="0"/>
          <w:iCs w:val="0"/>
        </w:rPr>
        <w:t>Epsilon-Greedy Exploration: Epsilon starts at 1.0 and decays with rate 0.99</w:t>
      </w:r>
      <w:r>
        <w:rPr>
          <w:rFonts w:hint="default"/>
          <w:i w:val="0"/>
          <w:iCs w:val="0"/>
          <w:lang w:val="en-US"/>
        </w:rPr>
        <w:t>9</w:t>
      </w:r>
      <w:r>
        <w:rPr>
          <w:rFonts w:hint="default"/>
          <w:i w:val="0"/>
          <w:iCs w:val="0"/>
        </w:rPr>
        <w:t>.</w:t>
      </w:r>
    </w:p>
    <w:p w14:paraId="3F0D5F1A">
      <w:pPr>
        <w:pStyle w:val="3"/>
        <w:numPr>
          <w:ilvl w:val="1"/>
          <w:numId w:val="9"/>
        </w:numPr>
        <w:tabs>
          <w:tab w:val="clear" w:pos="840"/>
        </w:tabs>
        <w:bidi w:val="0"/>
        <w:ind w:left="845" w:leftChars="0" w:hanging="425" w:firstLineChars="0"/>
        <w:rPr>
          <w:rFonts w:hint="eastAsia"/>
          <w:i w:val="0"/>
          <w:iCs w:val="0"/>
        </w:rPr>
      </w:pPr>
      <w:r>
        <w:rPr>
          <w:rFonts w:hint="default"/>
          <w:i w:val="0"/>
          <w:iCs w:val="0"/>
        </w:rPr>
        <w:t>Loss Function: Mean Squared Error (MSE) of Q-value estimates vs. target Q-values.</w:t>
      </w:r>
    </w:p>
    <w:p w14:paraId="0DA26D5D">
      <w:pPr>
        <w:pStyle w:val="3"/>
        <w:numPr>
          <w:ilvl w:val="1"/>
          <w:numId w:val="9"/>
        </w:numPr>
        <w:tabs>
          <w:tab w:val="clear" w:pos="840"/>
        </w:tabs>
        <w:bidi w:val="0"/>
        <w:ind w:left="845" w:leftChars="0" w:hanging="425" w:firstLineChars="0"/>
        <w:rPr>
          <w:rFonts w:hint="eastAsia"/>
          <w:i w:val="0"/>
          <w:iCs w:val="0"/>
        </w:rPr>
      </w:pPr>
      <w:r>
        <w:rPr>
          <w:rFonts w:hint="default"/>
          <w:i w:val="0"/>
          <w:iCs w:val="0"/>
        </w:rPr>
        <w:t>Optimizer: Adam, learning rate assumed to be 1e-3.</w:t>
      </w:r>
    </w:p>
    <w:p w14:paraId="10E89607">
      <w:pPr>
        <w:jc w:val="both"/>
        <w:rPr>
          <w:rFonts w:hint="default"/>
          <w:lang w:val="en-US"/>
        </w:rPr>
      </w:pPr>
    </w:p>
    <w:p w14:paraId="059015C9">
      <w:pPr>
        <w:pStyle w:val="6"/>
      </w:pPr>
      <w:r>
        <w:rPr>
          <w:rFonts w:hint="eastAsia"/>
        </w:rPr>
        <w:t>Simulation</w:t>
      </w:r>
      <w:r>
        <w:rPr>
          <w:rFonts w:hint="default"/>
          <w:lang w:val="en-US"/>
        </w:rPr>
        <w:t xml:space="preserve"> and Back Testing</w:t>
      </w:r>
      <w:r>
        <w:rPr>
          <w:rFonts w:hint="eastAsia"/>
        </w:rPr>
        <w:t xml:space="preserve"> System</w:t>
      </w:r>
    </w:p>
    <w:p w14:paraId="561051FA">
      <w:pPr>
        <w:pStyle w:val="4"/>
        <w:numPr>
          <w:numId w:val="0"/>
        </w:numPr>
        <w:bidi w:val="0"/>
        <w:rPr>
          <w:rFonts w:hint="eastAsia"/>
          <w:i w:val="0"/>
          <w:iCs w:val="0"/>
        </w:rPr>
      </w:pPr>
      <w:r>
        <w:rPr>
          <w:rFonts w:hint="default"/>
          <w:i w:val="0"/>
          <w:iCs w:val="0"/>
          <w:lang w:val="en-US"/>
        </w:rPr>
        <w:tab/>
      </w:r>
      <w:r>
        <w:rPr>
          <w:rFonts w:hint="eastAsia"/>
          <w:i w:val="0"/>
          <w:iCs w:val="0"/>
        </w:rPr>
        <w:t xml:space="preserve">The </w:t>
      </w:r>
      <w:r>
        <w:rPr>
          <w:rFonts w:hint="default"/>
          <w:i w:val="0"/>
          <w:iCs w:val="0"/>
          <w:lang w:val="en-US"/>
        </w:rPr>
        <w:t>back testing</w:t>
      </w:r>
      <w:r>
        <w:rPr>
          <w:rFonts w:hint="eastAsia"/>
          <w:i w:val="0"/>
          <w:iCs w:val="0"/>
        </w:rPr>
        <w:t xml:space="preserve"> and simulation system comprises two key components: the Account class for portfolio management and the </w:t>
      </w:r>
      <w:r>
        <w:rPr>
          <w:rFonts w:hint="eastAsia"/>
          <w:i/>
          <w:iCs/>
        </w:rPr>
        <w:t xml:space="preserve">TradingSimulator </w:t>
      </w:r>
      <w:r>
        <w:rPr>
          <w:rFonts w:hint="eastAsia"/>
          <w:i w:val="0"/>
          <w:iCs w:val="0"/>
        </w:rPr>
        <w:t>class for trading execution. Together, these components facilitate the evaluation and training of reinforcement learning (RL) agents using historical market data in a controlled environment.</w:t>
      </w:r>
    </w:p>
    <w:p w14:paraId="1C34A59E">
      <w:pPr>
        <w:pStyle w:val="3"/>
        <w:numPr>
          <w:ilvl w:val="0"/>
          <w:numId w:val="10"/>
        </w:numPr>
        <w:tabs>
          <w:tab w:val="clear" w:pos="425"/>
        </w:tabs>
        <w:bidi w:val="0"/>
        <w:ind w:left="425" w:leftChars="0" w:hanging="425" w:firstLineChars="0"/>
        <w:rPr>
          <w:rFonts w:hint="eastAsia"/>
          <w:i w:val="0"/>
          <w:iCs w:val="0"/>
        </w:rPr>
      </w:pPr>
      <w:r>
        <w:rPr>
          <w:rFonts w:hint="eastAsia"/>
        </w:rPr>
        <w:t>Portfolio Management System: Account Class</w:t>
      </w:r>
      <w:r>
        <w:rPr>
          <w:rFonts w:hint="eastAsia"/>
        </w:rPr>
        <w:br w:type="textWrapping"/>
      </w:r>
      <w:r>
        <w:rPr>
          <w:rFonts w:hint="eastAsia"/>
          <w:i w:val="0"/>
          <w:iCs w:val="0"/>
        </w:rPr>
        <w:t xml:space="preserve">The Account class </w:t>
      </w:r>
      <w:r>
        <w:rPr>
          <w:rFonts w:hint="default"/>
          <w:i w:val="0"/>
          <w:iCs w:val="0"/>
          <w:lang w:val="en-US"/>
        </w:rPr>
        <w:t xml:space="preserve">manages </w:t>
      </w:r>
      <w:r>
        <w:rPr>
          <w:rFonts w:hint="eastAsia"/>
          <w:i w:val="0"/>
          <w:iCs w:val="0"/>
        </w:rPr>
        <w:t>the portfolio's cash balance, positions, orders, and associated fees. It maintains an accurate representation of the agent's portfolio state and enables robust financial metric calculations.</w:t>
      </w:r>
      <w:r>
        <w:rPr>
          <w:rFonts w:hint="eastAsia"/>
          <w:i w:val="0"/>
          <w:iCs w:val="0"/>
        </w:rPr>
        <w:br w:type="textWrapping"/>
      </w:r>
      <w:r>
        <w:rPr>
          <w:rFonts w:hint="eastAsia"/>
          <w:i w:val="0"/>
          <w:iCs w:val="0"/>
        </w:rPr>
        <w:t>Key Features:</w:t>
      </w:r>
    </w:p>
    <w:p w14:paraId="661792D8">
      <w:pPr>
        <w:pStyle w:val="3"/>
        <w:numPr>
          <w:ilvl w:val="1"/>
          <w:numId w:val="10"/>
        </w:numPr>
        <w:tabs>
          <w:tab w:val="clear" w:pos="840"/>
        </w:tabs>
        <w:bidi w:val="0"/>
        <w:ind w:left="845" w:leftChars="0" w:hanging="425" w:firstLineChars="0"/>
        <w:rPr>
          <w:rFonts w:hint="eastAsia"/>
          <w:i w:val="0"/>
          <w:iCs w:val="0"/>
        </w:rPr>
      </w:pPr>
      <w:r>
        <w:rPr>
          <w:rFonts w:hint="eastAsia"/>
          <w:i/>
          <w:iCs/>
        </w:rPr>
        <w:t>Cash and Position Tracking</w:t>
      </w:r>
      <w:r>
        <w:rPr>
          <w:rFonts w:hint="eastAsia"/>
          <w:i w:val="0"/>
          <w:iCs w:val="0"/>
        </w:rPr>
        <w:br w:type="textWrapping"/>
      </w:r>
      <w:r>
        <w:rPr>
          <w:rFonts w:hint="eastAsia"/>
          <w:i w:val="0"/>
          <w:iCs w:val="0"/>
        </w:rPr>
        <w:t>Maintains the cash balance and asset holdings, updating positions and average prices when trades occur.</w:t>
      </w:r>
    </w:p>
    <w:p w14:paraId="39A43DEF">
      <w:pPr>
        <w:pStyle w:val="3"/>
        <w:numPr>
          <w:ilvl w:val="1"/>
          <w:numId w:val="10"/>
        </w:numPr>
        <w:tabs>
          <w:tab w:val="clear" w:pos="840"/>
        </w:tabs>
        <w:bidi w:val="0"/>
        <w:ind w:left="845" w:leftChars="0" w:hanging="425" w:firstLineChars="0"/>
        <w:rPr>
          <w:rFonts w:hint="eastAsia"/>
          <w:i w:val="0"/>
          <w:iCs w:val="0"/>
        </w:rPr>
      </w:pPr>
      <w:r>
        <w:rPr>
          <w:rFonts w:hint="eastAsia"/>
          <w:i/>
          <w:iCs/>
        </w:rPr>
        <w:t>Order Execution</w:t>
      </w:r>
      <w:r>
        <w:rPr>
          <w:rFonts w:hint="eastAsia"/>
          <w:i w:val="0"/>
          <w:iCs w:val="0"/>
        </w:rPr>
        <w:br w:type="textWrapping"/>
      </w:r>
      <w:r>
        <w:rPr>
          <w:rFonts w:hint="eastAsia"/>
          <w:i w:val="0"/>
          <w:iCs w:val="0"/>
        </w:rPr>
        <w:t>Supports the execution of buy and sell orders, including verification of order validity and the deduction of transaction fees.</w:t>
      </w:r>
    </w:p>
    <w:p w14:paraId="14572215">
      <w:pPr>
        <w:pStyle w:val="3"/>
        <w:numPr>
          <w:ilvl w:val="1"/>
          <w:numId w:val="10"/>
        </w:numPr>
        <w:tabs>
          <w:tab w:val="clear" w:pos="840"/>
        </w:tabs>
        <w:bidi w:val="0"/>
        <w:ind w:left="845" w:leftChars="0" w:hanging="425" w:firstLineChars="0"/>
        <w:rPr>
          <w:rFonts w:hint="eastAsia"/>
          <w:i w:val="0"/>
          <w:iCs w:val="0"/>
        </w:rPr>
      </w:pPr>
      <w:r>
        <w:rPr>
          <w:rFonts w:hint="eastAsia"/>
          <w:i w:val="0"/>
          <w:iCs w:val="0"/>
        </w:rPr>
        <w:t>Fee Calculation</w:t>
      </w:r>
      <w:r>
        <w:rPr>
          <w:rFonts w:hint="eastAsia"/>
          <w:i w:val="0"/>
          <w:iCs w:val="0"/>
        </w:rPr>
        <w:br w:type="textWrapping"/>
      </w:r>
      <w:r>
        <w:rPr>
          <w:rFonts w:hint="eastAsia"/>
          <w:i w:val="0"/>
          <w:iCs w:val="0"/>
        </w:rPr>
        <w:t>Implements realistic transaction costs, including:</w:t>
      </w:r>
    </w:p>
    <w:p w14:paraId="2F170658">
      <w:pPr>
        <w:pStyle w:val="3"/>
        <w:numPr>
          <w:ilvl w:val="2"/>
          <w:numId w:val="10"/>
        </w:numPr>
        <w:tabs>
          <w:tab w:val="clear" w:pos="1260"/>
        </w:tabs>
        <w:bidi w:val="0"/>
        <w:ind w:left="1265" w:leftChars="0" w:hanging="425" w:firstLineChars="0"/>
        <w:rPr>
          <w:rFonts w:hint="eastAsia"/>
          <w:i w:val="0"/>
          <w:iCs w:val="0"/>
        </w:rPr>
      </w:pPr>
      <w:r>
        <w:rPr>
          <w:rFonts w:hint="eastAsia"/>
          <w:i w:val="0"/>
          <w:iCs w:val="0"/>
        </w:rPr>
        <w:t>SEC Fees (proportional to order value)</w:t>
      </w:r>
    </w:p>
    <w:p w14:paraId="3EFD2BE9">
      <w:pPr>
        <w:pStyle w:val="3"/>
        <w:numPr>
          <w:ilvl w:val="2"/>
          <w:numId w:val="10"/>
        </w:numPr>
        <w:tabs>
          <w:tab w:val="clear" w:pos="1260"/>
        </w:tabs>
        <w:bidi w:val="0"/>
        <w:ind w:left="1265" w:leftChars="0" w:hanging="425" w:firstLineChars="0"/>
        <w:rPr>
          <w:rFonts w:hint="eastAsia"/>
          <w:i w:val="0"/>
          <w:iCs w:val="0"/>
        </w:rPr>
      </w:pPr>
      <w:r>
        <w:rPr>
          <w:rFonts w:hint="eastAsia"/>
          <w:i w:val="0"/>
          <w:iCs w:val="0"/>
        </w:rPr>
        <w:t>TAF Fees (based on shares traded, subject to a cap).</w:t>
      </w:r>
    </w:p>
    <w:p w14:paraId="5C140365">
      <w:pPr>
        <w:pStyle w:val="3"/>
        <w:numPr>
          <w:ilvl w:val="1"/>
          <w:numId w:val="10"/>
        </w:numPr>
        <w:tabs>
          <w:tab w:val="clear" w:pos="840"/>
        </w:tabs>
        <w:bidi w:val="0"/>
        <w:ind w:left="845" w:leftChars="0" w:hanging="425" w:firstLineChars="0"/>
        <w:rPr>
          <w:rFonts w:hint="eastAsia"/>
          <w:i w:val="0"/>
          <w:iCs w:val="0"/>
        </w:rPr>
      </w:pPr>
      <w:r>
        <w:rPr>
          <w:rFonts w:hint="eastAsia"/>
          <w:i/>
          <w:iCs/>
        </w:rPr>
        <w:t>Portfolio Metrics</w:t>
      </w:r>
      <w:r>
        <w:rPr>
          <w:rFonts w:hint="eastAsia"/>
          <w:i w:val="0"/>
          <w:iCs w:val="0"/>
        </w:rPr>
        <w:br w:type="textWrapping"/>
      </w:r>
      <w:r>
        <w:rPr>
          <w:rFonts w:hint="eastAsia"/>
          <w:i w:val="0"/>
          <w:iCs w:val="0"/>
        </w:rPr>
        <w:t>Provides critical financial metrics, such as:</w:t>
      </w:r>
    </w:p>
    <w:p w14:paraId="0A818739">
      <w:pPr>
        <w:pStyle w:val="3"/>
        <w:numPr>
          <w:ilvl w:val="2"/>
          <w:numId w:val="10"/>
        </w:numPr>
        <w:tabs>
          <w:tab w:val="clear" w:pos="1260"/>
        </w:tabs>
        <w:bidi w:val="0"/>
        <w:ind w:left="1265" w:leftChars="0" w:hanging="425" w:firstLineChars="0"/>
        <w:rPr>
          <w:rFonts w:hint="eastAsia"/>
          <w:i w:val="0"/>
          <w:iCs w:val="0"/>
        </w:rPr>
      </w:pPr>
      <w:r>
        <w:rPr>
          <w:rFonts w:hint="eastAsia"/>
          <w:i w:val="0"/>
          <w:iCs w:val="0"/>
        </w:rPr>
        <w:t>Total Portfolio Value: Sum of cash and the market value of held positions.</w:t>
      </w:r>
    </w:p>
    <w:p w14:paraId="22222C05">
      <w:pPr>
        <w:pStyle w:val="3"/>
        <w:numPr>
          <w:ilvl w:val="2"/>
          <w:numId w:val="10"/>
        </w:numPr>
        <w:tabs>
          <w:tab w:val="clear" w:pos="1260"/>
        </w:tabs>
        <w:bidi w:val="0"/>
        <w:ind w:left="1265" w:leftChars="0" w:hanging="425" w:firstLineChars="0"/>
        <w:rPr>
          <w:rFonts w:hint="eastAsia"/>
          <w:i w:val="0"/>
          <w:iCs w:val="0"/>
        </w:rPr>
      </w:pPr>
      <w:r>
        <w:rPr>
          <w:rFonts w:hint="eastAsia"/>
          <w:i w:val="0"/>
          <w:iCs w:val="0"/>
        </w:rPr>
        <w:t>Cash Ratio: Proportion of portfolio value held as cash.</w:t>
      </w:r>
    </w:p>
    <w:p w14:paraId="72814A53">
      <w:pPr>
        <w:pStyle w:val="3"/>
        <w:numPr>
          <w:ilvl w:val="2"/>
          <w:numId w:val="10"/>
        </w:numPr>
        <w:tabs>
          <w:tab w:val="clear" w:pos="1260"/>
        </w:tabs>
        <w:bidi w:val="0"/>
        <w:ind w:left="1265" w:leftChars="0" w:hanging="425" w:firstLineChars="0"/>
        <w:rPr>
          <w:rFonts w:hint="eastAsia"/>
          <w:i w:val="0"/>
          <w:iCs w:val="0"/>
        </w:rPr>
      </w:pPr>
      <w:r>
        <w:rPr>
          <w:rFonts w:hint="eastAsia"/>
          <w:i w:val="0"/>
          <w:iCs w:val="0"/>
        </w:rPr>
        <w:t>Position Weights: Contribution of individual assets to the total portfolio value.</w:t>
      </w:r>
      <w:r>
        <w:rPr>
          <w:rFonts w:hint="eastAsia"/>
          <w:i w:val="0"/>
          <w:iCs w:val="0"/>
        </w:rPr>
        <w:br w:type="textWrapping"/>
      </w:r>
      <w:r>
        <w:rPr>
          <w:rFonts w:hint="eastAsia"/>
          <w:i w:val="0"/>
          <w:iCs w:val="0"/>
        </w:rPr>
        <w:br w:type="textWrapping"/>
      </w:r>
      <w:r>
        <w:rPr>
          <w:rFonts w:hint="default"/>
          <w:i w:val="0"/>
          <w:iCs w:val="0"/>
          <w:lang w:val="en-US"/>
        </w:rPr>
        <w:t>The latter two are normalized and used as part of the input state for DQN network.</w:t>
      </w:r>
    </w:p>
    <w:p w14:paraId="37078911">
      <w:pPr>
        <w:pStyle w:val="3"/>
        <w:numPr>
          <w:ilvl w:val="0"/>
          <w:numId w:val="10"/>
        </w:numPr>
        <w:tabs>
          <w:tab w:val="clear" w:pos="425"/>
        </w:tabs>
        <w:bidi w:val="0"/>
        <w:ind w:left="425" w:leftChars="0" w:hanging="425" w:firstLineChars="0"/>
        <w:rPr>
          <w:rFonts w:hint="eastAsia"/>
          <w:i w:val="0"/>
          <w:iCs w:val="0"/>
        </w:rPr>
      </w:pPr>
      <w:r>
        <w:rPr>
          <w:rFonts w:hint="eastAsia"/>
          <w:i/>
          <w:iCs/>
        </w:rPr>
        <w:t>Trading Execution Environment: TradingSimulator Class</w:t>
      </w:r>
      <w:r>
        <w:rPr>
          <w:rFonts w:hint="eastAsia"/>
          <w:i w:val="0"/>
          <w:iCs w:val="0"/>
        </w:rPr>
        <w:br w:type="textWrapping"/>
      </w:r>
      <w:r>
        <w:rPr>
          <w:rFonts w:hint="eastAsia"/>
          <w:i w:val="0"/>
          <w:iCs w:val="0"/>
        </w:rPr>
        <w:t>The TradingSimulator provides an environment for simulating the execution of trading actions within a backtesting framework. It manages order fulfillment, market price interactions, and reward calculations based on agent performance</w:t>
      </w:r>
      <w:r>
        <w:rPr>
          <w:rFonts w:hint="default"/>
          <w:i w:val="0"/>
          <w:iCs w:val="0"/>
          <w:lang w:val="en-US"/>
        </w:rPr>
        <w:t xml:space="preserve">. </w:t>
      </w:r>
      <w:r>
        <w:rPr>
          <w:rFonts w:hint="eastAsia"/>
          <w:i w:val="0"/>
          <w:iCs w:val="0"/>
        </w:rPr>
        <w:t xml:space="preserve">Key </w:t>
      </w:r>
      <w:r>
        <w:rPr>
          <w:rFonts w:hint="default"/>
          <w:i w:val="0"/>
          <w:iCs w:val="0"/>
          <w:lang w:val="en-US"/>
        </w:rPr>
        <w:t>f</w:t>
      </w:r>
      <w:r>
        <w:rPr>
          <w:rFonts w:hint="eastAsia"/>
          <w:i w:val="0"/>
          <w:iCs w:val="0"/>
        </w:rPr>
        <w:t>eatures</w:t>
      </w:r>
      <w:r>
        <w:rPr>
          <w:rFonts w:hint="default"/>
          <w:i w:val="0"/>
          <w:iCs w:val="0"/>
          <w:lang w:val="en-US"/>
        </w:rPr>
        <w:t xml:space="preserve"> include</w:t>
      </w:r>
      <w:r>
        <w:rPr>
          <w:rFonts w:hint="eastAsia"/>
          <w:i w:val="0"/>
          <w:iCs w:val="0"/>
        </w:rPr>
        <w:t>:</w:t>
      </w:r>
    </w:p>
    <w:p w14:paraId="17599D3A">
      <w:pPr>
        <w:pStyle w:val="3"/>
        <w:numPr>
          <w:ilvl w:val="1"/>
          <w:numId w:val="10"/>
        </w:numPr>
        <w:tabs>
          <w:tab w:val="clear" w:pos="840"/>
        </w:tabs>
        <w:bidi w:val="0"/>
        <w:ind w:left="845" w:leftChars="0" w:hanging="425" w:firstLineChars="0"/>
        <w:rPr>
          <w:rFonts w:hint="eastAsia"/>
          <w:i w:val="0"/>
          <w:iCs w:val="0"/>
        </w:rPr>
      </w:pPr>
      <w:r>
        <w:rPr>
          <w:rFonts w:hint="eastAsia"/>
          <w:i w:val="0"/>
          <w:iCs w:val="0"/>
        </w:rPr>
        <w:t>Mock Trade Data Retrieval</w:t>
      </w:r>
      <w:r>
        <w:rPr>
          <w:rFonts w:hint="eastAsia"/>
          <w:i w:val="0"/>
          <w:iCs w:val="0"/>
        </w:rPr>
        <w:br w:type="textWrapping"/>
      </w:r>
      <w:r>
        <w:rPr>
          <w:rFonts w:hint="eastAsia"/>
          <w:i w:val="0"/>
          <w:iCs w:val="0"/>
        </w:rPr>
        <w:t>Simulates stock price data one step ahead to evaluate the feasibility of order execution without exposing future information to the agent.</w:t>
      </w:r>
    </w:p>
    <w:p w14:paraId="63068BF9">
      <w:pPr>
        <w:pStyle w:val="3"/>
        <w:numPr>
          <w:ilvl w:val="1"/>
          <w:numId w:val="10"/>
        </w:numPr>
        <w:tabs>
          <w:tab w:val="clear" w:pos="840"/>
        </w:tabs>
        <w:bidi w:val="0"/>
        <w:ind w:left="845" w:leftChars="0" w:hanging="425" w:firstLineChars="0"/>
        <w:rPr>
          <w:rFonts w:hint="eastAsia"/>
          <w:i w:val="0"/>
          <w:iCs w:val="0"/>
        </w:rPr>
      </w:pPr>
      <w:r>
        <w:rPr>
          <w:rFonts w:hint="eastAsia"/>
          <w:i w:val="0"/>
          <w:iCs w:val="0"/>
        </w:rPr>
        <w:t>Action Execution</w:t>
      </w:r>
      <w:r>
        <w:rPr>
          <w:rFonts w:hint="eastAsia"/>
          <w:i w:val="0"/>
          <w:iCs w:val="0"/>
        </w:rPr>
        <w:br w:type="textWrapping"/>
      </w:r>
      <w:r>
        <w:rPr>
          <w:rFonts w:hint="eastAsia"/>
          <w:i w:val="0"/>
          <w:iCs w:val="0"/>
        </w:rPr>
        <w:t>Implements the following discrete actions:</w:t>
      </w:r>
      <w:r>
        <w:rPr>
          <w:rFonts w:hint="default"/>
          <w:i w:val="0"/>
          <w:iCs w:val="0"/>
          <w:lang w:val="en-US"/>
        </w:rPr>
        <w:t xml:space="preserve"> </w:t>
      </w:r>
      <w:r>
        <w:rPr>
          <w:rFonts w:hint="eastAsia"/>
          <w:i w:val="0"/>
          <w:iCs w:val="0"/>
        </w:rPr>
        <w:t>Hold (no trade), Buy, and Sell.</w:t>
      </w:r>
    </w:p>
    <w:p w14:paraId="3AE6DD41">
      <w:pPr>
        <w:pStyle w:val="3"/>
        <w:numPr>
          <w:ilvl w:val="1"/>
          <w:numId w:val="10"/>
        </w:numPr>
        <w:tabs>
          <w:tab w:val="clear" w:pos="840"/>
        </w:tabs>
        <w:bidi w:val="0"/>
        <w:ind w:left="845" w:leftChars="0" w:hanging="425" w:firstLineChars="0"/>
        <w:rPr>
          <w:rFonts w:hint="eastAsia"/>
          <w:i w:val="0"/>
          <w:iCs w:val="0"/>
        </w:rPr>
      </w:pPr>
      <w:r>
        <w:rPr>
          <w:rFonts w:hint="eastAsia"/>
          <w:i w:val="0"/>
          <w:iCs w:val="0"/>
        </w:rPr>
        <w:t>Ensures order validity</w:t>
      </w:r>
      <w:r>
        <w:rPr>
          <w:rFonts w:hint="default"/>
          <w:i w:val="0"/>
          <w:iCs w:val="0"/>
          <w:lang w:val="en-US"/>
        </w:rPr>
        <w:t xml:space="preserve"> &amp; filling order</w:t>
      </w:r>
      <w:r>
        <w:rPr>
          <w:rFonts w:hint="eastAsia"/>
          <w:i w:val="0"/>
          <w:iCs w:val="0"/>
        </w:rPr>
        <w:br w:type="textWrapping"/>
      </w:r>
      <w:r>
        <w:rPr>
          <w:rFonts w:hint="default"/>
          <w:i w:val="0"/>
          <w:iCs w:val="0"/>
          <w:lang w:val="en-US"/>
        </w:rPr>
        <w:t>Verify</w:t>
      </w:r>
      <w:r>
        <w:rPr>
          <w:rFonts w:hint="eastAsia"/>
          <w:i w:val="0"/>
          <w:iCs w:val="0"/>
        </w:rPr>
        <w:t xml:space="preserve"> sufficient cash for buying or shares for selling and cancels unfilled orders</w:t>
      </w:r>
      <w:r>
        <w:rPr>
          <w:rFonts w:hint="default"/>
          <w:i w:val="0"/>
          <w:iCs w:val="0"/>
          <w:lang w:val="en-US"/>
        </w:rPr>
        <w:t xml:space="preserve">. </w:t>
      </w:r>
      <w:r>
        <w:rPr>
          <w:rFonts w:hint="eastAsia"/>
          <w:i w:val="0"/>
          <w:iCs w:val="0"/>
        </w:rPr>
        <w:t xml:space="preserve">Determines whether an order is executed based on simulated </w:t>
      </w:r>
      <w:r>
        <w:rPr>
          <w:rFonts w:hint="default"/>
          <w:i w:val="0"/>
          <w:iCs w:val="0"/>
          <w:lang w:val="en-US"/>
        </w:rPr>
        <w:t xml:space="preserve">next day </w:t>
      </w:r>
      <w:r>
        <w:rPr>
          <w:rFonts w:hint="eastAsia"/>
          <w:i w:val="0"/>
          <w:iCs w:val="0"/>
        </w:rPr>
        <w:t>price conditions</w:t>
      </w:r>
      <w:r>
        <w:rPr>
          <w:rFonts w:hint="default"/>
          <w:i w:val="0"/>
          <w:iCs w:val="0"/>
          <w:lang w:val="en-US"/>
        </w:rPr>
        <w:t>:</w:t>
      </w:r>
    </w:p>
    <w:p w14:paraId="1D601603">
      <w:pPr>
        <w:pStyle w:val="3"/>
        <w:numPr>
          <w:ilvl w:val="2"/>
          <w:numId w:val="10"/>
        </w:numPr>
        <w:tabs>
          <w:tab w:val="clear" w:pos="1260"/>
        </w:tabs>
        <w:bidi w:val="0"/>
        <w:ind w:left="1265" w:leftChars="0" w:hanging="425" w:firstLineChars="0"/>
        <w:rPr>
          <w:rFonts w:hint="eastAsia"/>
          <w:i w:val="0"/>
          <w:iCs w:val="0"/>
        </w:rPr>
      </w:pPr>
      <w:r>
        <w:rPr>
          <w:rFonts w:hint="eastAsia"/>
          <w:i w:val="0"/>
          <w:iCs w:val="0"/>
        </w:rPr>
        <w:t>Buy Orders: Filled if the current price is less than or equal to the order price.</w:t>
      </w:r>
    </w:p>
    <w:p w14:paraId="7C8C7BB5">
      <w:pPr>
        <w:pStyle w:val="3"/>
        <w:numPr>
          <w:ilvl w:val="2"/>
          <w:numId w:val="10"/>
        </w:numPr>
        <w:tabs>
          <w:tab w:val="clear" w:pos="1260"/>
        </w:tabs>
        <w:bidi w:val="0"/>
        <w:ind w:left="1265" w:leftChars="0" w:hanging="425" w:firstLineChars="0"/>
        <w:rPr>
          <w:rFonts w:hint="eastAsia"/>
          <w:i w:val="0"/>
          <w:iCs w:val="0"/>
        </w:rPr>
      </w:pPr>
      <w:r>
        <w:rPr>
          <w:rFonts w:hint="eastAsia"/>
          <w:i w:val="0"/>
          <w:iCs w:val="0"/>
        </w:rPr>
        <w:t>Sell Orders: Filled if the current price is greater than or equal to the order price.</w:t>
      </w:r>
    </w:p>
    <w:p w14:paraId="5B0079D5">
      <w:pPr>
        <w:pStyle w:val="3"/>
        <w:numPr>
          <w:ilvl w:val="1"/>
          <w:numId w:val="10"/>
        </w:numPr>
        <w:tabs>
          <w:tab w:val="clear" w:pos="840"/>
        </w:tabs>
        <w:bidi w:val="0"/>
        <w:ind w:left="845" w:leftChars="0" w:hanging="425" w:firstLineChars="0"/>
        <w:rPr>
          <w:rFonts w:hint="eastAsia"/>
          <w:i w:val="0"/>
          <w:iCs w:val="0"/>
        </w:rPr>
      </w:pPr>
      <w:r>
        <w:rPr>
          <w:rFonts w:hint="eastAsia"/>
          <w:i/>
          <w:iCs/>
        </w:rPr>
        <w:t>Reward Calculation</w:t>
      </w:r>
      <w:r>
        <w:rPr>
          <w:rFonts w:hint="eastAsia"/>
          <w:i/>
          <w:iCs/>
        </w:rPr>
        <w:br w:type="textWrapping"/>
      </w:r>
      <w:r>
        <w:rPr>
          <w:rFonts w:hint="eastAsia"/>
          <w:i w:val="0"/>
          <w:iCs w:val="0"/>
        </w:rPr>
        <w:t>Computes rewards based on</w:t>
      </w:r>
    </w:p>
    <w:p w14:paraId="427B1FD2">
      <w:pPr>
        <w:pStyle w:val="3"/>
        <w:numPr>
          <w:ilvl w:val="2"/>
          <w:numId w:val="10"/>
        </w:numPr>
        <w:tabs>
          <w:tab w:val="clear" w:pos="1260"/>
        </w:tabs>
        <w:bidi w:val="0"/>
        <w:ind w:left="1265" w:leftChars="0" w:hanging="425" w:firstLineChars="0"/>
        <w:rPr>
          <w:rFonts w:hint="eastAsia"/>
          <w:i w:val="0"/>
          <w:iCs w:val="0"/>
        </w:rPr>
      </w:pPr>
      <w:r>
        <w:rPr>
          <w:rFonts w:hint="eastAsia"/>
          <w:i w:val="0"/>
          <w:iCs w:val="0"/>
        </w:rPr>
        <w:t>Changes in portfolio value</w:t>
      </w:r>
      <w:r>
        <w:rPr>
          <w:rFonts w:hint="default"/>
          <w:i w:val="0"/>
          <w:iCs w:val="0"/>
          <w:lang w:val="en-US"/>
        </w:rPr>
        <w:t>:</w:t>
      </w:r>
      <w:r>
        <w:rPr>
          <w:rFonts w:hint="eastAsia"/>
          <w:i w:val="0"/>
          <w:iCs w:val="0"/>
          <w:sz w:val="18"/>
          <w:szCs w:val="18"/>
        </w:rPr>
        <w:drawing>
          <wp:inline distT="0" distB="0" distL="114300" distR="114300">
            <wp:extent cx="655320" cy="107315"/>
            <wp:effectExtent l="0" t="0" r="11430" b="6985"/>
            <wp:docPr id="1"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3" descr="wp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655320" cy="107315"/>
                    </a:xfrm>
                    <a:prstGeom prst="rect">
                      <a:avLst/>
                    </a:prstGeom>
                  </pic:spPr>
                </pic:pic>
              </a:graphicData>
            </a:graphic>
          </wp:inline>
        </w:drawing>
      </w:r>
    </w:p>
    <w:p w14:paraId="2D8925B7">
      <w:pPr>
        <w:pStyle w:val="3"/>
        <w:numPr>
          <w:ilvl w:val="2"/>
          <w:numId w:val="10"/>
        </w:numPr>
        <w:tabs>
          <w:tab w:val="clear" w:pos="1260"/>
        </w:tabs>
        <w:bidi w:val="0"/>
        <w:ind w:left="1265" w:leftChars="0" w:hanging="425" w:firstLineChars="0"/>
        <w:rPr>
          <w:rFonts w:hint="eastAsia"/>
          <w:i w:val="0"/>
          <w:iCs w:val="0"/>
        </w:rPr>
      </w:pPr>
      <w:r>
        <w:rPr>
          <w:rFonts w:hint="eastAsia"/>
          <w:i w:val="0"/>
          <w:iCs w:val="0"/>
        </w:rPr>
        <w:t>Penalt</w:t>
      </w:r>
      <w:r>
        <w:rPr>
          <w:rFonts w:hint="default"/>
          <w:i w:val="0"/>
          <w:iCs w:val="0"/>
          <w:lang w:val="en-US"/>
        </w:rPr>
        <w:t>y</w:t>
      </w:r>
      <w:r>
        <w:rPr>
          <w:rFonts w:hint="eastAsia"/>
          <w:i w:val="0"/>
          <w:iCs w:val="0"/>
        </w:rPr>
        <w:t xml:space="preserve"> for liquidity issues (e.g., asset concentration)</w:t>
      </w:r>
      <w:r>
        <w:rPr>
          <w:rFonts w:hint="default"/>
          <w:i w:val="0"/>
          <w:iCs w:val="0"/>
          <w:lang w:val="en-US"/>
        </w:rPr>
        <w:t xml:space="preserve">: </w:t>
      </w:r>
      <w:r>
        <w:rPr>
          <w:rFonts w:hint="eastAsia"/>
          <w:i w:val="0"/>
          <w:iCs w:val="0"/>
          <w:sz w:val="18"/>
          <w:szCs w:val="18"/>
        </w:rPr>
        <w:drawing>
          <wp:inline distT="0" distB="0" distL="114300" distR="114300">
            <wp:extent cx="534035" cy="121920"/>
            <wp:effectExtent l="0" t="0" r="18415" b="11430"/>
            <wp:docPr id="2" name="2384804F-3998-4D57-9195-F3826E402611-10" descr="C:/Users/zhang/AppData/Local/Temp/wps.FaMIk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10" descr="C:/Users/zhang/AppData/Local/Temp/wps.FaMIkr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534168" cy="122060"/>
                    </a:xfrm>
                    <a:prstGeom prst="rect">
                      <a:avLst/>
                    </a:prstGeom>
                  </pic:spPr>
                </pic:pic>
              </a:graphicData>
            </a:graphic>
          </wp:inline>
        </w:drawing>
      </w:r>
    </w:p>
    <w:p w14:paraId="51484ECA">
      <w:pPr>
        <w:pStyle w:val="3"/>
        <w:numPr>
          <w:ilvl w:val="2"/>
          <w:numId w:val="10"/>
        </w:numPr>
        <w:tabs>
          <w:tab w:val="clear" w:pos="1260"/>
        </w:tabs>
        <w:bidi w:val="0"/>
        <w:ind w:left="1265" w:leftChars="0" w:hanging="425" w:firstLineChars="0"/>
        <w:rPr>
          <w:rFonts w:hint="default"/>
          <w:lang w:val="en-US"/>
        </w:rPr>
      </w:pPr>
      <w:r>
        <w:rPr>
          <w:rFonts w:hint="eastAsia"/>
          <w:i w:val="0"/>
          <w:iCs w:val="0"/>
        </w:rPr>
        <w:t>Invalid or unfilled order penalt</w:t>
      </w:r>
      <w:r>
        <w:rPr>
          <w:rFonts w:hint="default"/>
          <w:i w:val="0"/>
          <w:iCs w:val="0"/>
          <w:lang w:val="en-US"/>
        </w:rPr>
        <w:t>y.</w:t>
      </w:r>
    </w:p>
    <w:p w14:paraId="56BF60F4">
      <w:pPr>
        <w:rPr>
          <w:rFonts w:hint="default"/>
          <w:lang w:val="en-US"/>
        </w:rPr>
      </w:pPr>
      <w:r>
        <w:rPr>
          <w:rFonts w:hint="default"/>
          <w:lang w:val="en-US"/>
        </w:rPr>
        <w:t xml:space="preserve">And the reward is </w:t>
      </w:r>
    </w:p>
    <w:p w14:paraId="51C76A53">
      <w:pPr>
        <w:rPr>
          <w:rFonts w:hint="eastAsia"/>
          <w:i w:val="0"/>
          <w:iCs w:val="0"/>
          <w:sz w:val="18"/>
          <w:szCs w:val="18"/>
        </w:rPr>
      </w:pPr>
      <w:r>
        <w:rPr>
          <w:rFonts w:hint="eastAsia"/>
          <w:i w:val="0"/>
          <w:iCs w:val="0"/>
          <w:sz w:val="18"/>
          <w:szCs w:val="18"/>
        </w:rPr>
        <w:drawing>
          <wp:inline distT="0" distB="0" distL="114300" distR="114300">
            <wp:extent cx="969010" cy="109855"/>
            <wp:effectExtent l="0" t="0" r="2540" b="4445"/>
            <wp:docPr id="5" name="2384804F-3998-4D57-9195-F3826E402611-7" descr="C:/Users/zhang/AppData/Local/Temp/wps.NPgJW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84804F-3998-4D57-9195-F3826E402611-7" descr="C:/Users/zhang/AppData/Local/Temp/wps.NPgJWqwps"/>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969213" cy="109854"/>
                    </a:xfrm>
                    <a:prstGeom prst="rect">
                      <a:avLst/>
                    </a:prstGeom>
                  </pic:spPr>
                </pic:pic>
              </a:graphicData>
            </a:graphic>
          </wp:inline>
        </w:drawing>
      </w:r>
    </w:p>
    <w:p w14:paraId="0DD077B9">
      <w:pPr>
        <w:rPr>
          <w:rFonts w:hint="default"/>
          <w:i w:val="0"/>
          <w:iCs w:val="0"/>
          <w:sz w:val="18"/>
          <w:szCs w:val="18"/>
          <w:lang w:val="en-US"/>
        </w:rPr>
      </w:pPr>
      <w:r>
        <w:rPr>
          <w:rFonts w:hint="default"/>
          <w:i w:val="0"/>
          <w:iCs w:val="0"/>
          <w:sz w:val="18"/>
          <w:szCs w:val="18"/>
          <w:lang w:val="en-US"/>
        </w:rPr>
        <w:t xml:space="preserve">Where </w:t>
      </w:r>
      <w:r>
        <w:rPr>
          <w:rFonts w:hint="eastAsia"/>
          <w:i w:val="0"/>
          <w:iCs w:val="0"/>
          <w:sz w:val="18"/>
          <w:szCs w:val="18"/>
        </w:rPr>
        <w:drawing>
          <wp:inline distT="0" distB="0" distL="114300" distR="114300">
            <wp:extent cx="286385" cy="109855"/>
            <wp:effectExtent l="0" t="0" r="18415" b="4445"/>
            <wp:docPr id="6" name="2384804F-3998-4D57-9195-F3826E402611-8" descr="C:/Users/zhang/AppData/Local/Temp/wps.KTsBT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8" descr="C:/Users/zhang/AppData/Local/Temp/wps.KTsBTg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286358" cy="109854"/>
                    </a:xfrm>
                    <a:prstGeom prst="rect">
                      <a:avLst/>
                    </a:prstGeom>
                  </pic:spPr>
                </pic:pic>
              </a:graphicData>
            </a:graphic>
          </wp:inline>
        </w:drawing>
      </w:r>
      <w:r>
        <w:rPr>
          <w:rFonts w:hint="default"/>
          <w:i w:val="0"/>
          <w:iCs w:val="0"/>
          <w:sz w:val="18"/>
          <w:szCs w:val="18"/>
          <w:lang w:val="en-US"/>
        </w:rPr>
        <w:t>are respective multipliers that are hyper parameters.</w:t>
      </w:r>
    </w:p>
    <w:p w14:paraId="1CB0AC39">
      <w:pPr>
        <w:jc w:val="both"/>
        <w:rPr>
          <w:rFonts w:hint="eastAsia"/>
          <w:i w:val="0"/>
          <w:iCs w:val="0"/>
        </w:rPr>
      </w:pPr>
    </w:p>
    <w:p w14:paraId="3B05B217">
      <w:pPr>
        <w:numPr>
          <w:ilvl w:val="0"/>
          <w:numId w:val="10"/>
        </w:numPr>
        <w:tabs>
          <w:tab w:val="clear" w:pos="425"/>
        </w:tabs>
        <w:ind w:left="425" w:leftChars="0" w:hanging="425" w:firstLineChars="0"/>
        <w:jc w:val="both"/>
        <w:rPr>
          <w:rFonts w:hint="eastAsia"/>
          <w:i/>
          <w:iCs/>
        </w:rPr>
      </w:pPr>
      <w:r>
        <w:rPr>
          <w:rFonts w:hint="eastAsia"/>
          <w:i/>
          <w:iCs/>
        </w:rPr>
        <w:t>Simulation Workflow</w:t>
      </w:r>
    </w:p>
    <w:p w14:paraId="62FD81EB">
      <w:pPr>
        <w:numPr>
          <w:ilvl w:val="1"/>
          <w:numId w:val="10"/>
        </w:numPr>
        <w:tabs>
          <w:tab w:val="clear" w:pos="840"/>
        </w:tabs>
        <w:ind w:left="845" w:leftChars="0" w:hanging="425" w:firstLineChars="0"/>
        <w:jc w:val="both"/>
        <w:rPr>
          <w:rFonts w:hint="eastAsia"/>
          <w:i w:val="0"/>
          <w:iCs w:val="0"/>
        </w:rPr>
      </w:pPr>
      <w:r>
        <w:rPr>
          <w:rFonts w:hint="eastAsia"/>
          <w:i w:val="0"/>
          <w:iCs w:val="0"/>
        </w:rPr>
        <w:t>The RL agent selects an action (hold, buy, or sell) at each time step.</w:t>
      </w:r>
    </w:p>
    <w:p w14:paraId="2DB17AD2">
      <w:pPr>
        <w:numPr>
          <w:ilvl w:val="1"/>
          <w:numId w:val="10"/>
        </w:numPr>
        <w:tabs>
          <w:tab w:val="clear" w:pos="840"/>
        </w:tabs>
        <w:ind w:left="845" w:leftChars="0" w:hanging="425" w:firstLineChars="0"/>
        <w:jc w:val="both"/>
        <w:rPr>
          <w:rFonts w:hint="eastAsia"/>
          <w:i w:val="0"/>
          <w:iCs w:val="0"/>
        </w:rPr>
      </w:pPr>
      <w:r>
        <w:rPr>
          <w:rFonts w:hint="eastAsia"/>
          <w:i w:val="0"/>
          <w:iCs w:val="0"/>
        </w:rPr>
        <w:t>The simulator retrieves the relevant market price and executes the chosen action.</w:t>
      </w:r>
    </w:p>
    <w:p w14:paraId="78350D6B">
      <w:pPr>
        <w:numPr>
          <w:ilvl w:val="1"/>
          <w:numId w:val="10"/>
        </w:numPr>
        <w:tabs>
          <w:tab w:val="clear" w:pos="840"/>
        </w:tabs>
        <w:ind w:left="845" w:leftChars="0" w:hanging="425" w:firstLineChars="0"/>
        <w:jc w:val="both"/>
        <w:rPr>
          <w:rFonts w:hint="eastAsia"/>
          <w:i w:val="0"/>
          <w:iCs w:val="0"/>
        </w:rPr>
      </w:pPr>
      <w:r>
        <w:rPr>
          <w:rFonts w:hint="eastAsia"/>
          <w:i w:val="0"/>
          <w:iCs w:val="0"/>
        </w:rPr>
        <w:t>Order validity is verified, and filled/unfilled orders are processed</w:t>
      </w:r>
      <w:r>
        <w:rPr>
          <w:rFonts w:hint="default"/>
          <w:i w:val="0"/>
          <w:iCs w:val="0"/>
          <w:lang w:val="en-US"/>
        </w:rPr>
        <w:t>.</w:t>
      </w:r>
    </w:p>
    <w:p w14:paraId="1E5E4628">
      <w:pPr>
        <w:numPr>
          <w:ilvl w:val="1"/>
          <w:numId w:val="10"/>
        </w:numPr>
        <w:tabs>
          <w:tab w:val="clear" w:pos="840"/>
        </w:tabs>
        <w:ind w:left="845" w:leftChars="0" w:hanging="425" w:firstLineChars="0"/>
        <w:jc w:val="both"/>
        <w:rPr>
          <w:rFonts w:hint="eastAsia"/>
          <w:i w:val="0"/>
          <w:iCs w:val="0"/>
        </w:rPr>
      </w:pPr>
      <w:r>
        <w:rPr>
          <w:rFonts w:hint="eastAsia"/>
          <w:i w:val="0"/>
          <w:iCs w:val="0"/>
        </w:rPr>
        <w:t>The reward is calculated based on performance metrics and penalties.</w:t>
      </w:r>
    </w:p>
    <w:p w14:paraId="292592FE">
      <w:pPr>
        <w:numPr>
          <w:ilvl w:val="1"/>
          <w:numId w:val="10"/>
        </w:numPr>
        <w:tabs>
          <w:tab w:val="clear" w:pos="840"/>
        </w:tabs>
        <w:ind w:left="845" w:leftChars="0" w:hanging="425" w:firstLineChars="0"/>
        <w:jc w:val="both"/>
        <w:rPr>
          <w:rFonts w:hint="eastAsia"/>
          <w:i w:val="0"/>
          <w:iCs w:val="0"/>
        </w:rPr>
      </w:pPr>
      <w:r>
        <w:rPr>
          <w:rFonts w:hint="eastAsia"/>
          <w:i w:val="0"/>
          <w:iCs w:val="0"/>
        </w:rPr>
        <w:t>The portfolio state is updated, and the agent receives feedback for learning.</w:t>
      </w:r>
    </w:p>
    <w:p w14:paraId="6BE991ED">
      <w:pPr>
        <w:pStyle w:val="9"/>
        <w:rPr>
          <w:rFonts w:hint="eastAsia"/>
          <w:i w:val="0"/>
          <w:iCs w:val="0"/>
        </w:rPr>
      </w:pPr>
      <w:r>
        <w:rPr>
          <w:rFonts w:hint="default"/>
          <w:i w:val="0"/>
          <w:iCs w:val="0"/>
          <w:lang w:val="en-US"/>
        </w:rPr>
        <w:t xml:space="preserve">The </w:t>
      </w:r>
      <w:r>
        <w:rPr>
          <w:rFonts w:hint="eastAsia"/>
          <w:i w:val="0"/>
          <w:iCs w:val="0"/>
        </w:rPr>
        <w:t>proposed backtesting and simulation system provides a robust and realistic environment for evaluating RL-based trading strategies. It incorporates historical market data, portfolio management, realistic transaction fees, and reward-based feedback mechanisms. This framework enables agents to learn effective trading policies through interaction, order execution, and reward optimization within a simulated market environment.</w:t>
      </w:r>
    </w:p>
    <w:p w14:paraId="7C7060F5">
      <w:pPr>
        <w:pStyle w:val="9"/>
        <w:rPr>
          <w:rFonts w:hint="default"/>
          <w:lang w:val="en-US"/>
        </w:rPr>
      </w:pPr>
      <w:r>
        <w:rPr>
          <w:rFonts w:hint="default"/>
          <w:lang w:val="en-US"/>
        </w:rPr>
        <w:drawing>
          <wp:inline distT="0" distB="0" distL="114300" distR="114300">
            <wp:extent cx="3192780" cy="4257675"/>
            <wp:effectExtent l="0" t="0" r="7620" b="9525"/>
            <wp:docPr id="11" name="Picture 11" descr="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ining"/>
                    <pic:cNvPicPr>
                      <a:picLocks noChangeAspect="1"/>
                    </pic:cNvPicPr>
                  </pic:nvPicPr>
                  <pic:blipFill>
                    <a:blip r:embed="rId13"/>
                    <a:stretch>
                      <a:fillRect/>
                    </a:stretch>
                  </pic:blipFill>
                  <pic:spPr>
                    <a:xfrm>
                      <a:off x="0" y="0"/>
                      <a:ext cx="3192780" cy="4257675"/>
                    </a:xfrm>
                    <a:prstGeom prst="rect">
                      <a:avLst/>
                    </a:prstGeom>
                  </pic:spPr>
                </pic:pic>
              </a:graphicData>
            </a:graphic>
          </wp:inline>
        </w:drawing>
      </w:r>
    </w:p>
    <w:p w14:paraId="4AC145A7">
      <w:pPr>
        <w:pStyle w:val="10"/>
        <w:tabs>
          <w:tab w:val="left" w:pos="288"/>
        </w:tabs>
        <w:rPr>
          <w:rFonts w:hint="default"/>
          <w:lang w:val="en-US"/>
        </w:rPr>
      </w:pPr>
      <w:r>
        <w:rPr>
          <w:lang w:val="en-US"/>
        </w:rPr>
        <w:t>Example of training period</w:t>
      </w:r>
    </w:p>
    <w:p w14:paraId="1A77FC21">
      <w:pPr>
        <w:pStyle w:val="6"/>
        <w:rPr>
          <w:rFonts w:hint="default"/>
          <w:lang w:val="en-US"/>
        </w:rPr>
      </w:pPr>
      <w:r>
        <w:rPr>
          <w:rFonts w:hint="default"/>
          <w:lang w:val="en-US"/>
        </w:rPr>
        <w:t>Result Analysis</w:t>
      </w:r>
    </w:p>
    <w:p w14:paraId="0AF56A8C">
      <w:pPr>
        <w:jc w:val="both"/>
        <w:rPr>
          <w:rFonts w:hint="default"/>
          <w:lang w:val="en-US"/>
        </w:rPr>
      </w:pPr>
      <w:r>
        <w:rPr>
          <w:rFonts w:hint="default"/>
          <w:lang w:val="en-US"/>
        </w:rPr>
        <w:t>After training the model with feature for 177 stock data &amp; 5 macroeconomic data between 2000~2020 for around 250 epochs, here is the test result:</w:t>
      </w:r>
    </w:p>
    <w:p w14:paraId="47DC7DE5">
      <w:pPr>
        <w:numPr>
          <w:ilvl w:val="0"/>
          <w:numId w:val="11"/>
        </w:numPr>
        <w:ind w:left="425" w:leftChars="0" w:hanging="425" w:firstLineChars="0"/>
        <w:jc w:val="both"/>
        <w:rPr>
          <w:rFonts w:hint="default"/>
          <w:i/>
          <w:iCs/>
          <w:lang w:val="en-US"/>
        </w:rPr>
      </w:pPr>
      <w:r>
        <w:rPr>
          <w:rFonts w:hint="default"/>
          <w:i/>
          <w:iCs/>
          <w:lang w:val="en-US"/>
        </w:rPr>
        <w:t>Performance Metrics</w:t>
      </w:r>
    </w:p>
    <w:p w14:paraId="180E197E">
      <w:pPr>
        <w:numPr>
          <w:ilvl w:val="1"/>
          <w:numId w:val="11"/>
        </w:numPr>
        <w:ind w:left="845" w:leftChars="0" w:hanging="425" w:firstLineChars="0"/>
        <w:jc w:val="both"/>
        <w:rPr>
          <w:rFonts w:hint="default"/>
          <w:i/>
          <w:iCs/>
          <w:lang w:val="en-US"/>
        </w:rPr>
      </w:pPr>
      <w:r>
        <w:rPr>
          <w:rFonts w:hint="default"/>
          <w:i/>
          <w:iCs/>
          <w:lang w:val="en-US"/>
        </w:rPr>
        <w:t>Return</w:t>
      </w:r>
    </w:p>
    <w:p w14:paraId="6405A093">
      <w:pPr>
        <w:numPr>
          <w:ilvl w:val="2"/>
          <w:numId w:val="11"/>
        </w:numPr>
        <w:ind w:left="1265" w:leftChars="0" w:hanging="425" w:firstLineChars="0"/>
        <w:jc w:val="both"/>
        <w:rPr>
          <w:rFonts w:hint="default"/>
          <w:lang w:val="en-US"/>
        </w:rPr>
      </w:pPr>
      <w:r>
        <w:rPr>
          <w:rFonts w:hint="default"/>
          <w:lang w:val="en-US"/>
        </w:rPr>
        <w:t>The percentage change in the account value.</w:t>
      </w:r>
    </w:p>
    <w:p w14:paraId="470C0622">
      <w:pPr>
        <w:numPr>
          <w:ilvl w:val="1"/>
          <w:numId w:val="11"/>
        </w:numPr>
        <w:ind w:left="845" w:leftChars="0" w:hanging="425" w:firstLineChars="0"/>
        <w:jc w:val="both"/>
        <w:rPr>
          <w:rFonts w:hint="default"/>
          <w:lang w:val="en-US"/>
        </w:rPr>
      </w:pPr>
      <w:r>
        <w:rPr>
          <w:rFonts w:hint="default"/>
          <w:i/>
          <w:iCs/>
          <w:lang w:val="en-US"/>
        </w:rPr>
        <w:t>Buy and Hold Return</w:t>
      </w:r>
      <w:r>
        <w:rPr>
          <w:rFonts w:hint="default"/>
          <w:lang w:val="en-US"/>
        </w:rPr>
        <w:br w:type="textWrapping"/>
      </w:r>
      <w:r>
        <w:rPr>
          <w:rFonts w:hint="default"/>
          <w:lang w:val="en-US"/>
        </w:rPr>
        <w:t xml:space="preserve">Used as </w:t>
      </w:r>
      <w:r>
        <w:rPr>
          <w:rFonts w:hint="default"/>
          <w:b/>
          <w:bCs/>
          <w:lang w:val="en-US"/>
        </w:rPr>
        <w:t>baseline</w:t>
      </w:r>
      <w:r>
        <w:rPr>
          <w:rFonts w:hint="default"/>
          <w:lang w:val="en-US"/>
        </w:rPr>
        <w:t>; The percentage change in the account value if the agent had simply held the stock; In other words, the return of the stock.</w:t>
      </w:r>
    </w:p>
    <w:p w14:paraId="6598F42D">
      <w:pPr>
        <w:numPr>
          <w:ilvl w:val="1"/>
          <w:numId w:val="11"/>
        </w:numPr>
        <w:ind w:left="845" w:leftChars="0" w:hanging="425" w:firstLineChars="0"/>
        <w:jc w:val="both"/>
        <w:rPr>
          <w:rFonts w:hint="default"/>
          <w:lang w:val="en-US"/>
        </w:rPr>
      </w:pPr>
      <w:r>
        <w:rPr>
          <w:rFonts w:hint="default"/>
          <w:i/>
          <w:iCs/>
          <w:lang w:val="en-US"/>
        </w:rPr>
        <w:t>Outperformance</w:t>
      </w:r>
      <w:r>
        <w:rPr>
          <w:rFonts w:hint="default"/>
          <w:lang w:val="en-US"/>
        </w:rPr>
        <w:br w:type="textWrapping"/>
      </w:r>
      <w:r>
        <w:rPr>
          <w:rFonts w:hint="default"/>
          <w:lang w:val="en-US"/>
        </w:rPr>
        <w:t>Strategy Return – Buy and Hold Return</w:t>
      </w:r>
    </w:p>
    <w:p w14:paraId="6325DA55">
      <w:pPr>
        <w:numPr>
          <w:ilvl w:val="1"/>
          <w:numId w:val="11"/>
        </w:numPr>
        <w:ind w:left="845" w:leftChars="0" w:hanging="425" w:firstLineChars="0"/>
        <w:jc w:val="both"/>
        <w:rPr>
          <w:rFonts w:hint="default"/>
          <w:lang w:val="en-US"/>
        </w:rPr>
      </w:pPr>
      <w:r>
        <w:rPr>
          <w:rFonts w:hint="default"/>
          <w:i/>
          <w:iCs/>
          <w:lang w:val="en-US"/>
        </w:rPr>
        <w:t>Relative Outperformance</w:t>
      </w:r>
      <w:r>
        <w:rPr>
          <w:rFonts w:hint="default"/>
          <w:lang w:val="en-US"/>
        </w:rPr>
        <w:br w:type="textWrapping"/>
      </w:r>
      <w:r>
        <w:rPr>
          <w:rFonts w:hint="default"/>
          <w:lang w:val="en-US"/>
        </w:rPr>
        <w:t>Outperformance / Buy and Hold Return</w:t>
      </w:r>
    </w:p>
    <w:p w14:paraId="33E8DFC2">
      <w:pPr>
        <w:numPr>
          <w:ilvl w:val="1"/>
          <w:numId w:val="11"/>
        </w:numPr>
        <w:ind w:left="845" w:leftChars="0" w:hanging="425" w:firstLineChars="0"/>
        <w:jc w:val="both"/>
        <w:rPr>
          <w:rFonts w:hint="default"/>
          <w:lang w:val="en-US"/>
        </w:rPr>
      </w:pPr>
      <w:r>
        <w:rPr>
          <w:rFonts w:hint="default"/>
          <w:i/>
          <w:iCs/>
          <w:lang w:val="en-US"/>
        </w:rPr>
        <w:t>Utilization Rate</w:t>
      </w:r>
      <w:r>
        <w:rPr>
          <w:rFonts w:hint="default"/>
          <w:lang w:val="en-US"/>
        </w:rPr>
        <w:br w:type="textWrapping"/>
      </w:r>
      <w:r>
        <w:rPr>
          <w:rFonts w:hint="default"/>
          <w:lang w:val="en-US"/>
        </w:rPr>
        <w:t>Average percentage of the account's total value that is invested in the market.</w:t>
      </w:r>
    </w:p>
    <w:p w14:paraId="0BE1A74A">
      <w:pPr>
        <w:numPr>
          <w:ilvl w:val="1"/>
          <w:numId w:val="11"/>
        </w:numPr>
        <w:ind w:left="845" w:leftChars="0" w:hanging="425" w:firstLineChars="0"/>
        <w:jc w:val="both"/>
        <w:rPr>
          <w:rFonts w:hint="default"/>
          <w:lang w:val="en-US"/>
        </w:rPr>
      </w:pPr>
      <w:r>
        <w:rPr>
          <w:rFonts w:hint="default"/>
          <w:i/>
          <w:iCs/>
          <w:lang w:val="en-US"/>
        </w:rPr>
        <w:t>Utilization-Adjusted Outperformance</w:t>
      </w:r>
      <w:r>
        <w:rPr>
          <w:rFonts w:hint="default"/>
          <w:i/>
          <w:iCs/>
          <w:lang w:val="en-US"/>
        </w:rPr>
        <w:br w:type="textWrapping"/>
      </w:r>
      <w:r>
        <w:rPr>
          <w:rFonts w:hint="default"/>
          <w:lang w:val="en-US"/>
        </w:rPr>
        <w:t>Strategy Return - (Utilization Rate * Buy and Hold Return)</w:t>
      </w:r>
    </w:p>
    <w:p w14:paraId="63AD2340">
      <w:pPr>
        <w:numPr>
          <w:ilvl w:val="1"/>
          <w:numId w:val="11"/>
        </w:numPr>
        <w:ind w:left="845" w:leftChars="0" w:hanging="425" w:firstLineChars="0"/>
        <w:jc w:val="both"/>
        <w:rPr>
          <w:rFonts w:hint="default"/>
          <w:lang w:val="en-US"/>
        </w:rPr>
      </w:pPr>
      <w:r>
        <w:rPr>
          <w:rFonts w:hint="default"/>
          <w:i/>
          <w:iCs/>
          <w:lang w:val="en-US"/>
        </w:rPr>
        <w:t>Utilization-Adjusted Relative Outperformance</w:t>
      </w:r>
      <w:r>
        <w:rPr>
          <w:rFonts w:hint="default"/>
          <w:i/>
          <w:iCs/>
          <w:lang w:val="en-US"/>
        </w:rPr>
        <w:br w:type="textWrapping"/>
      </w:r>
      <w:r>
        <w:rPr>
          <w:rFonts w:hint="default"/>
          <w:lang w:val="en-US"/>
        </w:rPr>
        <w:t>Utilization-Adjusted Outperformance / Buy and Hold Return</w:t>
      </w:r>
    </w:p>
    <w:p w14:paraId="3F06AF52">
      <w:pPr>
        <w:numPr>
          <w:ilvl w:val="1"/>
          <w:numId w:val="11"/>
        </w:numPr>
        <w:ind w:left="845" w:leftChars="0" w:hanging="425" w:firstLineChars="0"/>
        <w:jc w:val="both"/>
        <w:rPr>
          <w:rFonts w:hint="default"/>
          <w:lang w:val="en-US"/>
        </w:rPr>
      </w:pPr>
      <w:r>
        <w:rPr>
          <w:rFonts w:hint="default"/>
          <w:i/>
          <w:iCs/>
          <w:lang w:val="en-US"/>
        </w:rPr>
        <w:t>Average Number of Trades</w:t>
      </w:r>
      <w:r>
        <w:rPr>
          <w:rFonts w:hint="default"/>
          <w:lang w:val="en-US"/>
        </w:rPr>
        <w:br w:type="textWrapping"/>
      </w:r>
      <w:r>
        <w:rPr>
          <w:rFonts w:hint="default"/>
          <w:lang w:val="en-US"/>
        </w:rPr>
        <w:t>For analyzing trading frequency</w:t>
      </w:r>
    </w:p>
    <w:p w14:paraId="4C0209F0">
      <w:pPr>
        <w:numPr>
          <w:ilvl w:val="0"/>
          <w:numId w:val="11"/>
        </w:numPr>
        <w:ind w:left="425" w:leftChars="0" w:hanging="425" w:firstLineChars="0"/>
        <w:jc w:val="both"/>
        <w:rPr>
          <w:rFonts w:hint="default"/>
          <w:i/>
          <w:iCs/>
          <w:lang w:val="en-US"/>
        </w:rPr>
      </w:pPr>
      <w:r>
        <w:rPr>
          <w:rFonts w:hint="default"/>
          <w:i/>
          <w:iCs/>
          <w:lang w:val="en-US"/>
        </w:rPr>
        <w:t>Testing Result</w:t>
      </w:r>
    </w:p>
    <w:p w14:paraId="2C723D26">
      <w:pPr>
        <w:numPr>
          <w:ilvl w:val="1"/>
          <w:numId w:val="11"/>
        </w:numPr>
        <w:ind w:left="845" w:leftChars="0" w:hanging="425" w:firstLineChars="0"/>
        <w:jc w:val="both"/>
        <w:rPr>
          <w:rFonts w:hint="default"/>
          <w:lang w:val="en-US"/>
        </w:rPr>
      </w:pPr>
      <w:r>
        <w:rPr>
          <w:rFonts w:hint="default"/>
          <w:lang w:val="en-US"/>
        </w:rPr>
        <w:t>With 2020~2021 data:</w:t>
      </w:r>
    </w:p>
    <w:p w14:paraId="1B8184A5">
      <w:pPr>
        <w:numPr>
          <w:ilvl w:val="2"/>
          <w:numId w:val="11"/>
        </w:numPr>
        <w:ind w:left="1265" w:leftChars="0" w:hanging="425" w:firstLineChars="0"/>
        <w:jc w:val="both"/>
        <w:rPr>
          <w:rFonts w:hint="default"/>
          <w:lang w:val="en-US"/>
        </w:rPr>
      </w:pPr>
      <w:r>
        <w:rPr>
          <w:rFonts w:hint="default"/>
          <w:lang w:val="en-US"/>
        </w:rPr>
        <w:t xml:space="preserve">Average Strategy Return: 12.82%  </w:t>
      </w:r>
    </w:p>
    <w:p w14:paraId="6EB03BC7">
      <w:pPr>
        <w:numPr>
          <w:ilvl w:val="2"/>
          <w:numId w:val="11"/>
        </w:numPr>
        <w:ind w:left="1265" w:leftChars="0" w:hanging="425" w:firstLineChars="0"/>
        <w:jc w:val="both"/>
        <w:rPr>
          <w:rFonts w:hint="default"/>
          <w:lang w:val="en-US"/>
        </w:rPr>
      </w:pPr>
      <w:r>
        <w:rPr>
          <w:rFonts w:hint="default"/>
          <w:lang w:val="en-US"/>
        </w:rPr>
        <w:t xml:space="preserve">Average Stock Return: 3.95%  </w:t>
      </w:r>
    </w:p>
    <w:p w14:paraId="20A962AF">
      <w:pPr>
        <w:numPr>
          <w:ilvl w:val="2"/>
          <w:numId w:val="11"/>
        </w:numPr>
        <w:ind w:left="1265" w:leftChars="0" w:hanging="425" w:firstLineChars="0"/>
        <w:jc w:val="both"/>
        <w:rPr>
          <w:rFonts w:hint="default"/>
          <w:lang w:val="en-US"/>
        </w:rPr>
      </w:pPr>
      <w:r>
        <w:rPr>
          <w:rFonts w:hint="default"/>
          <w:lang w:val="en-US"/>
        </w:rPr>
        <w:t xml:space="preserve">Average Strategy Outperformance: 8.87%  </w:t>
      </w:r>
    </w:p>
    <w:p w14:paraId="5B1348AF">
      <w:pPr>
        <w:numPr>
          <w:ilvl w:val="2"/>
          <w:numId w:val="11"/>
        </w:numPr>
        <w:ind w:left="1265" w:leftChars="0" w:hanging="425" w:firstLineChars="0"/>
        <w:jc w:val="both"/>
        <w:rPr>
          <w:rFonts w:hint="default"/>
          <w:lang w:val="en-US"/>
        </w:rPr>
      </w:pPr>
      <w:r>
        <w:rPr>
          <w:rFonts w:hint="default"/>
          <w:lang w:val="en-US"/>
        </w:rPr>
        <w:t xml:space="preserve">Average Relative Outperformance: 162.25%  </w:t>
      </w:r>
    </w:p>
    <w:p w14:paraId="635E0A61">
      <w:pPr>
        <w:numPr>
          <w:ilvl w:val="2"/>
          <w:numId w:val="11"/>
        </w:numPr>
        <w:ind w:left="1265" w:leftChars="0" w:hanging="425" w:firstLineChars="0"/>
        <w:jc w:val="both"/>
        <w:rPr>
          <w:rFonts w:hint="default"/>
          <w:lang w:val="en-US"/>
        </w:rPr>
      </w:pPr>
      <w:r>
        <w:rPr>
          <w:rFonts w:hint="default"/>
          <w:lang w:val="en-US"/>
        </w:rPr>
        <w:t xml:space="preserve">Fund Utilization Rate: 61.19%  </w:t>
      </w:r>
    </w:p>
    <w:p w14:paraId="48964145">
      <w:pPr>
        <w:numPr>
          <w:ilvl w:val="2"/>
          <w:numId w:val="11"/>
        </w:numPr>
        <w:ind w:left="1265" w:leftChars="0" w:hanging="425" w:firstLineChars="0"/>
        <w:jc w:val="both"/>
        <w:rPr>
          <w:rFonts w:hint="default"/>
          <w:lang w:val="en-US"/>
        </w:rPr>
      </w:pPr>
      <w:r>
        <w:rPr>
          <w:rFonts w:hint="default"/>
          <w:lang w:val="en-US"/>
        </w:rPr>
        <w:t xml:space="preserve">Utilization-Adjusted Outperformance: 11.38%  </w:t>
      </w:r>
    </w:p>
    <w:p w14:paraId="7B4B01BC">
      <w:pPr>
        <w:numPr>
          <w:ilvl w:val="2"/>
          <w:numId w:val="11"/>
        </w:numPr>
        <w:ind w:left="1265" w:leftChars="0" w:hanging="425" w:firstLineChars="0"/>
        <w:jc w:val="both"/>
        <w:rPr>
          <w:rFonts w:hint="default"/>
          <w:lang w:val="en-US"/>
        </w:rPr>
      </w:pPr>
      <w:r>
        <w:rPr>
          <w:rFonts w:hint="default"/>
          <w:lang w:val="en-US"/>
        </w:rPr>
        <w:t xml:space="preserve">Utilization-Adjusted Relative Outperformance: 410.83%  </w:t>
      </w:r>
    </w:p>
    <w:p w14:paraId="22CC025C">
      <w:pPr>
        <w:numPr>
          <w:ilvl w:val="2"/>
          <w:numId w:val="11"/>
        </w:numPr>
        <w:ind w:left="1265" w:leftChars="0" w:hanging="425" w:firstLineChars="0"/>
        <w:jc w:val="both"/>
        <w:rPr>
          <w:rFonts w:hint="default"/>
          <w:lang w:val="en-US"/>
        </w:rPr>
      </w:pPr>
      <w:r>
        <w:rPr>
          <w:rFonts w:hint="default"/>
          <w:lang w:val="en-US"/>
        </w:rPr>
        <w:t xml:space="preserve">Average Number of Trades: 5.9 </w:t>
      </w:r>
    </w:p>
    <w:p w14:paraId="7224BE19">
      <w:pPr>
        <w:numPr>
          <w:ilvl w:val="1"/>
          <w:numId w:val="11"/>
        </w:numPr>
        <w:ind w:left="845" w:leftChars="0" w:hanging="425" w:firstLineChars="0"/>
        <w:jc w:val="both"/>
        <w:rPr>
          <w:rFonts w:hint="default"/>
          <w:lang w:val="en-US"/>
        </w:rPr>
      </w:pPr>
      <w:r>
        <w:rPr>
          <w:rFonts w:hint="default"/>
          <w:lang w:val="en-US"/>
        </w:rPr>
        <w:t>With 2020~2024 data:</w:t>
      </w:r>
    </w:p>
    <w:p w14:paraId="08E995F0">
      <w:pPr>
        <w:numPr>
          <w:ilvl w:val="2"/>
          <w:numId w:val="11"/>
        </w:numPr>
        <w:ind w:left="1265" w:leftChars="0" w:hanging="425" w:firstLineChars="0"/>
        <w:jc w:val="both"/>
        <w:rPr>
          <w:rFonts w:hint="default"/>
          <w:lang w:val="en-US"/>
        </w:rPr>
      </w:pPr>
      <w:r>
        <w:rPr>
          <w:rFonts w:hint="default"/>
          <w:lang w:val="en-US"/>
        </w:rPr>
        <w:t xml:space="preserve">Average Strategy Return: 41.86%  </w:t>
      </w:r>
    </w:p>
    <w:p w14:paraId="47D9F9F3">
      <w:pPr>
        <w:numPr>
          <w:ilvl w:val="2"/>
          <w:numId w:val="11"/>
        </w:numPr>
        <w:ind w:left="1265" w:leftChars="0" w:hanging="425" w:firstLineChars="0"/>
        <w:jc w:val="both"/>
        <w:rPr>
          <w:rFonts w:hint="default"/>
          <w:lang w:val="en-US"/>
        </w:rPr>
      </w:pPr>
      <w:r>
        <w:rPr>
          <w:rFonts w:hint="default"/>
          <w:lang w:val="en-US"/>
        </w:rPr>
        <w:t xml:space="preserve">Average Stock Return: 43.50%  </w:t>
      </w:r>
    </w:p>
    <w:p w14:paraId="441FA4D8">
      <w:pPr>
        <w:numPr>
          <w:ilvl w:val="2"/>
          <w:numId w:val="11"/>
        </w:numPr>
        <w:ind w:left="1265" w:leftChars="0" w:hanging="425" w:firstLineChars="0"/>
        <w:jc w:val="both"/>
        <w:rPr>
          <w:rFonts w:hint="default"/>
          <w:lang w:val="en-US"/>
        </w:rPr>
      </w:pPr>
      <w:r>
        <w:rPr>
          <w:rFonts w:hint="default"/>
          <w:lang w:val="en-US"/>
        </w:rPr>
        <w:t xml:space="preserve">Average Strategy Outperformance: –1.64%  </w:t>
      </w:r>
    </w:p>
    <w:p w14:paraId="0EA3D992">
      <w:pPr>
        <w:numPr>
          <w:ilvl w:val="2"/>
          <w:numId w:val="11"/>
        </w:numPr>
        <w:ind w:left="1265" w:leftChars="0" w:hanging="425" w:firstLineChars="0"/>
        <w:jc w:val="both"/>
        <w:rPr>
          <w:rFonts w:hint="default"/>
          <w:lang w:val="en-US"/>
        </w:rPr>
      </w:pPr>
      <w:r>
        <w:rPr>
          <w:rFonts w:hint="default"/>
          <w:lang w:val="en-US"/>
        </w:rPr>
        <w:t xml:space="preserve">Average Relative Outperformance: 223.89%  </w:t>
      </w:r>
    </w:p>
    <w:p w14:paraId="4AFCD426">
      <w:pPr>
        <w:numPr>
          <w:ilvl w:val="2"/>
          <w:numId w:val="11"/>
        </w:numPr>
        <w:ind w:left="1265" w:leftChars="0" w:hanging="425" w:firstLineChars="0"/>
        <w:jc w:val="both"/>
        <w:rPr>
          <w:rFonts w:hint="default"/>
          <w:lang w:val="en-US"/>
        </w:rPr>
      </w:pPr>
      <w:r>
        <w:rPr>
          <w:rFonts w:hint="default"/>
          <w:lang w:val="en-US"/>
        </w:rPr>
        <w:t xml:space="preserve">Fund Utilization Rate: 80.55%  </w:t>
      </w:r>
    </w:p>
    <w:p w14:paraId="48A6EFE2">
      <w:pPr>
        <w:numPr>
          <w:ilvl w:val="2"/>
          <w:numId w:val="11"/>
        </w:numPr>
        <w:ind w:left="1265" w:leftChars="0" w:hanging="425" w:firstLineChars="0"/>
        <w:jc w:val="both"/>
        <w:rPr>
          <w:rFonts w:hint="default"/>
          <w:lang w:val="en-US"/>
        </w:rPr>
      </w:pPr>
      <w:r>
        <w:rPr>
          <w:rFonts w:hint="default"/>
          <w:lang w:val="en-US"/>
        </w:rPr>
        <w:t xml:space="preserve">Utilization-Adjusted Outperformance: 8.67%  </w:t>
      </w:r>
    </w:p>
    <w:p w14:paraId="7360803D">
      <w:pPr>
        <w:numPr>
          <w:ilvl w:val="2"/>
          <w:numId w:val="11"/>
        </w:numPr>
        <w:ind w:left="1265" w:leftChars="0" w:hanging="425" w:firstLineChars="0"/>
        <w:jc w:val="both"/>
        <w:rPr>
          <w:rFonts w:hint="default"/>
          <w:lang w:val="en-US"/>
        </w:rPr>
      </w:pPr>
      <w:r>
        <w:rPr>
          <w:rFonts w:hint="default"/>
          <w:lang w:val="en-US"/>
        </w:rPr>
        <w:t xml:space="preserve">Utilization-Adjusted Relative Outperformance: 272.34%  </w:t>
      </w:r>
    </w:p>
    <w:p w14:paraId="19896A6F">
      <w:pPr>
        <w:numPr>
          <w:ilvl w:val="2"/>
          <w:numId w:val="11"/>
        </w:numPr>
        <w:ind w:left="1265" w:leftChars="0" w:hanging="425" w:firstLineChars="0"/>
        <w:jc w:val="both"/>
        <w:rPr>
          <w:rFonts w:hint="default"/>
          <w:lang w:val="en-US"/>
        </w:rPr>
      </w:pPr>
      <w:r>
        <w:rPr>
          <w:rFonts w:hint="default"/>
          <w:lang w:val="en-US"/>
        </w:rPr>
        <w:t xml:space="preserve">Average Number of Trades**: 32.6  </w:t>
      </w:r>
    </w:p>
    <w:p w14:paraId="6BB8E2AA">
      <w:pPr>
        <w:numPr>
          <w:numId w:val="0"/>
        </w:numPr>
        <w:jc w:val="both"/>
        <w:rPr>
          <w:rFonts w:hint="default"/>
          <w:lang w:val="en-US"/>
        </w:rPr>
      </w:pPr>
      <w:r>
        <w:rPr>
          <w:rFonts w:hint="default"/>
          <w:lang w:val="en-US"/>
        </w:rPr>
        <w:t>During the major downturn in early 2020, the agent tended to wait for market recovery signals before entering positions, effectively mitigating losses. But afterwards, the strategy slightly under performed the broader market.</w:t>
      </w:r>
    </w:p>
    <w:p w14:paraId="5761097C">
      <w:pPr>
        <w:numPr>
          <w:numId w:val="0"/>
        </w:numPr>
        <w:jc w:val="both"/>
      </w:pPr>
      <w:r>
        <w:drawing>
          <wp:inline distT="0" distB="0" distL="114300" distR="114300">
            <wp:extent cx="3183890" cy="2212975"/>
            <wp:effectExtent l="0" t="0" r="16510"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3183890" cy="2212975"/>
                    </a:xfrm>
                    <a:prstGeom prst="rect">
                      <a:avLst/>
                    </a:prstGeom>
                    <a:noFill/>
                    <a:ln>
                      <a:noFill/>
                    </a:ln>
                  </pic:spPr>
                </pic:pic>
              </a:graphicData>
            </a:graphic>
          </wp:inline>
        </w:drawing>
      </w:r>
    </w:p>
    <w:p w14:paraId="2E3154FA">
      <w:pPr>
        <w:pStyle w:val="10"/>
        <w:numPr>
          <w:numId w:val="0"/>
        </w:numPr>
        <w:jc w:val="center"/>
        <w:rPr>
          <w:rFonts w:hint="default"/>
          <w:lang w:val="en-US"/>
        </w:rPr>
      </w:pPr>
      <w:r>
        <w:rPr>
          <w:rFonts w:hint="default"/>
          <w:lang w:val="en-US"/>
        </w:rPr>
        <w:t>Example of the model avoiding initial stock crash</w:t>
      </w:r>
    </w:p>
    <w:p w14:paraId="55B8B411">
      <w:r>
        <w:drawing>
          <wp:inline distT="0" distB="0" distL="114300" distR="114300">
            <wp:extent cx="3169285" cy="2239645"/>
            <wp:effectExtent l="0" t="0" r="12065" b="825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5"/>
                    <a:stretch>
                      <a:fillRect/>
                    </a:stretch>
                  </pic:blipFill>
                  <pic:spPr>
                    <a:xfrm>
                      <a:off x="0" y="0"/>
                      <a:ext cx="3169285" cy="2239645"/>
                    </a:xfrm>
                    <a:prstGeom prst="rect">
                      <a:avLst/>
                    </a:prstGeom>
                    <a:noFill/>
                    <a:ln>
                      <a:noFill/>
                    </a:ln>
                  </pic:spPr>
                </pic:pic>
              </a:graphicData>
            </a:graphic>
          </wp:inline>
        </w:drawing>
      </w:r>
    </w:p>
    <w:p w14:paraId="14ACBECC">
      <w:pPr>
        <w:pStyle w:val="10"/>
        <w:rPr>
          <w:rFonts w:hint="default"/>
          <w:lang w:val="en-US"/>
        </w:rPr>
      </w:pPr>
      <w:r>
        <w:rPr>
          <w:rFonts w:hint="default"/>
          <w:lang w:val="en-US"/>
        </w:rPr>
        <w:t>Example 1 of Model taking advantage of stock crash</w:t>
      </w:r>
    </w:p>
    <w:p w14:paraId="13F462A8">
      <w:pPr>
        <w:jc w:val="both"/>
      </w:pPr>
      <w:r>
        <w:drawing>
          <wp:inline distT="0" distB="0" distL="114300" distR="114300">
            <wp:extent cx="3169285" cy="2239645"/>
            <wp:effectExtent l="0" t="0" r="12065" b="825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6"/>
                    <a:stretch>
                      <a:fillRect/>
                    </a:stretch>
                  </pic:blipFill>
                  <pic:spPr>
                    <a:xfrm>
                      <a:off x="0" y="0"/>
                      <a:ext cx="3169285" cy="2239645"/>
                    </a:xfrm>
                    <a:prstGeom prst="rect">
                      <a:avLst/>
                    </a:prstGeom>
                    <a:noFill/>
                    <a:ln>
                      <a:noFill/>
                    </a:ln>
                  </pic:spPr>
                </pic:pic>
              </a:graphicData>
            </a:graphic>
          </wp:inline>
        </w:drawing>
      </w:r>
    </w:p>
    <w:p w14:paraId="711783DD">
      <w:pPr>
        <w:pStyle w:val="10"/>
        <w:rPr>
          <w:rFonts w:hint="default"/>
          <w:lang w:val="en-US"/>
        </w:rPr>
      </w:pPr>
      <w:r>
        <w:rPr>
          <w:rFonts w:hint="default"/>
          <w:lang w:val="en-US"/>
        </w:rPr>
        <w:t>Example 2 of Model taking advantage of stock crash</w:t>
      </w:r>
    </w:p>
    <w:p w14:paraId="7F9FCD1B">
      <w:r>
        <w:drawing>
          <wp:inline distT="0" distB="0" distL="114300" distR="114300">
            <wp:extent cx="3169285" cy="2239645"/>
            <wp:effectExtent l="0" t="0" r="12065"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7"/>
                    <a:stretch>
                      <a:fillRect/>
                    </a:stretch>
                  </pic:blipFill>
                  <pic:spPr>
                    <a:xfrm>
                      <a:off x="0" y="0"/>
                      <a:ext cx="3169285" cy="2239645"/>
                    </a:xfrm>
                    <a:prstGeom prst="rect">
                      <a:avLst/>
                    </a:prstGeom>
                    <a:noFill/>
                    <a:ln>
                      <a:noFill/>
                    </a:ln>
                  </pic:spPr>
                </pic:pic>
              </a:graphicData>
            </a:graphic>
          </wp:inline>
        </w:drawing>
      </w:r>
    </w:p>
    <w:p w14:paraId="1C14F14D">
      <w:pPr>
        <w:pStyle w:val="10"/>
        <w:rPr>
          <w:rFonts w:hint="default"/>
          <w:lang w:val="en-US"/>
        </w:rPr>
      </w:pPr>
      <w:r>
        <w:rPr>
          <w:rFonts w:hint="default"/>
          <w:lang w:val="en-US"/>
        </w:rPr>
        <w:t>Example of model underperforming</w:t>
      </w:r>
    </w:p>
    <w:p w14:paraId="5719D972">
      <w:pPr>
        <w:numPr>
          <w:numId w:val="0"/>
        </w:numPr>
        <w:jc w:val="both"/>
        <w:rPr>
          <w:rFonts w:hint="default"/>
          <w:lang w:val="en-US"/>
        </w:rPr>
      </w:pPr>
      <w:r>
        <w:rPr>
          <w:rFonts w:hint="default"/>
          <w:lang w:val="en-US"/>
        </w:rPr>
        <w:t>Two plausible cause for this observation:</w:t>
      </w:r>
    </w:p>
    <w:p w14:paraId="29527C72">
      <w:pPr>
        <w:numPr>
          <w:numId w:val="0"/>
        </w:numPr>
        <w:ind w:firstLine="720" w:firstLineChars="0"/>
        <w:jc w:val="both"/>
        <w:rPr>
          <w:rFonts w:hint="default"/>
          <w:lang w:val="en-US"/>
        </w:rPr>
      </w:pPr>
      <w:r>
        <w:rPr>
          <w:rFonts w:hint="default"/>
          <w:lang w:val="en-US"/>
        </w:rPr>
        <w:t>The model is over-fitting to the economic situation before 2020; (and is not able to properly understand the change in stock market during the AI boom); This can be addressed naively by updating the model to keep up with more recent training data.</w:t>
      </w:r>
    </w:p>
    <w:p w14:paraId="0CA59378">
      <w:pPr>
        <w:numPr>
          <w:numId w:val="0"/>
        </w:numPr>
        <w:ind w:firstLine="720" w:firstLineChars="0"/>
        <w:jc w:val="both"/>
        <w:rPr>
          <w:rFonts w:hint="default"/>
          <w:lang w:val="en-US"/>
        </w:rPr>
      </w:pPr>
      <w:r>
        <w:rPr>
          <w:rFonts w:hint="default"/>
          <w:lang w:val="en-US"/>
        </w:rPr>
        <w:t>The model is better at preventing loss than making profit (as its training data experiences both the dot-com bubble and 2008 financial crisis). It performs better during the 2020~2021 period where there is major stock market downturn, while underperforming the market during the AI boom.</w:t>
      </w:r>
    </w:p>
    <w:p w14:paraId="3DBEBB6D">
      <w:pPr>
        <w:pStyle w:val="6"/>
        <w:rPr>
          <w:rFonts w:hint="default"/>
          <w:lang w:val="en-US"/>
        </w:rPr>
      </w:pPr>
      <w:r>
        <w:rPr>
          <w:rFonts w:hint="default"/>
          <w:lang w:val="en-US"/>
        </w:rPr>
        <w:t>Conclusions</w:t>
      </w:r>
    </w:p>
    <w:p w14:paraId="420AAE06">
      <w:pPr>
        <w:numPr>
          <w:ilvl w:val="0"/>
          <w:numId w:val="12"/>
        </w:numPr>
        <w:ind w:left="425" w:leftChars="0" w:hanging="425" w:firstLineChars="0"/>
        <w:jc w:val="left"/>
        <w:rPr>
          <w:rFonts w:hint="default"/>
          <w:i/>
          <w:iCs/>
          <w:lang w:val="en-US"/>
        </w:rPr>
      </w:pPr>
      <w:r>
        <w:rPr>
          <w:rFonts w:hint="default"/>
          <w:i/>
          <w:iCs/>
          <w:lang w:val="en-US"/>
        </w:rPr>
        <w:t xml:space="preserve">Key Findings  </w:t>
      </w:r>
    </w:p>
    <w:p w14:paraId="106DB552">
      <w:pPr>
        <w:numPr>
          <w:ilvl w:val="1"/>
          <w:numId w:val="12"/>
        </w:numPr>
        <w:ind w:left="845" w:leftChars="0" w:hanging="425" w:firstLineChars="0"/>
        <w:jc w:val="left"/>
        <w:rPr>
          <w:rFonts w:hint="default"/>
          <w:lang w:val="en-US"/>
        </w:rPr>
      </w:pPr>
      <w:r>
        <w:rPr>
          <w:rFonts w:hint="default"/>
          <w:lang w:val="en-US"/>
        </w:rPr>
        <w:t>This DQN-based RL agent integrating macroeconomic and technical indicators can outperform naive strategies under certain market conditions (e.g., 2020 downturn).</w:t>
      </w:r>
    </w:p>
    <w:p w14:paraId="46B604ED">
      <w:pPr>
        <w:numPr>
          <w:ilvl w:val="1"/>
          <w:numId w:val="12"/>
        </w:numPr>
        <w:ind w:left="845" w:leftChars="0" w:hanging="425" w:firstLineChars="0"/>
        <w:jc w:val="left"/>
        <w:rPr>
          <w:rFonts w:hint="default"/>
          <w:lang w:val="en-US"/>
        </w:rPr>
      </w:pPr>
      <w:r>
        <w:rPr>
          <w:rFonts w:hint="default"/>
          <w:lang w:val="en-US"/>
        </w:rPr>
        <w:t xml:space="preserve">Performance can lag behind buy-and-hold when markets trend strongly upward (e.g., the AI-driven rally).  </w:t>
      </w:r>
    </w:p>
    <w:p w14:paraId="19EAE165">
      <w:pPr>
        <w:numPr>
          <w:ilvl w:val="0"/>
          <w:numId w:val="12"/>
        </w:numPr>
        <w:ind w:left="425" w:leftChars="0" w:hanging="425" w:firstLineChars="0"/>
        <w:jc w:val="left"/>
        <w:rPr>
          <w:rFonts w:hint="default"/>
          <w:i/>
          <w:iCs/>
          <w:lang w:val="en-US"/>
        </w:rPr>
      </w:pPr>
      <w:r>
        <w:rPr>
          <w:rFonts w:hint="default"/>
          <w:i/>
          <w:iCs/>
          <w:lang w:val="en-US"/>
        </w:rPr>
        <w:t>Limitations</w:t>
      </w:r>
    </w:p>
    <w:p w14:paraId="36BCBF48">
      <w:pPr>
        <w:numPr>
          <w:ilvl w:val="1"/>
          <w:numId w:val="12"/>
        </w:numPr>
        <w:ind w:left="845" w:leftChars="0" w:hanging="425" w:firstLineChars="0"/>
        <w:jc w:val="left"/>
        <w:rPr>
          <w:rFonts w:hint="default"/>
          <w:lang w:val="en-US"/>
        </w:rPr>
      </w:pPr>
      <w:r>
        <w:rPr>
          <w:rFonts w:hint="default"/>
          <w:lang w:val="en-US"/>
        </w:rPr>
        <w:t xml:space="preserve">Single-stock focus, ignoring portfolio diversification.  </w:t>
      </w:r>
    </w:p>
    <w:p w14:paraId="1EF78777">
      <w:pPr>
        <w:numPr>
          <w:ilvl w:val="1"/>
          <w:numId w:val="12"/>
        </w:numPr>
        <w:ind w:left="845" w:leftChars="0" w:hanging="425" w:firstLineChars="0"/>
        <w:jc w:val="left"/>
        <w:rPr>
          <w:rFonts w:hint="default"/>
          <w:lang w:val="en-US"/>
        </w:rPr>
      </w:pPr>
      <w:r>
        <w:rPr>
          <w:rFonts w:hint="default"/>
          <w:lang w:val="en-US"/>
        </w:rPr>
        <w:t xml:space="preserve">Fixed action space (full buy, full sell, or hold). Potential over-fitting to historical crises.  </w:t>
      </w:r>
    </w:p>
    <w:p w14:paraId="6A5CC910">
      <w:pPr>
        <w:numPr>
          <w:ilvl w:val="0"/>
          <w:numId w:val="12"/>
        </w:numPr>
        <w:ind w:left="425" w:leftChars="0" w:hanging="425" w:firstLineChars="0"/>
        <w:jc w:val="left"/>
        <w:rPr>
          <w:rFonts w:hint="default"/>
          <w:lang w:val="en-US"/>
        </w:rPr>
      </w:pPr>
      <w:r>
        <w:rPr>
          <w:rFonts w:hint="default"/>
          <w:i/>
          <w:iCs/>
          <w:lang w:val="en-US"/>
        </w:rPr>
        <w:t>Future Work</w:t>
      </w:r>
      <w:r>
        <w:rPr>
          <w:rFonts w:hint="default"/>
          <w:lang w:val="en-US"/>
        </w:rPr>
        <w:t xml:space="preserve"> </w:t>
      </w:r>
    </w:p>
    <w:p w14:paraId="40914090">
      <w:pPr>
        <w:numPr>
          <w:ilvl w:val="1"/>
          <w:numId w:val="12"/>
        </w:numPr>
        <w:ind w:left="845" w:leftChars="0" w:hanging="425" w:firstLineChars="0"/>
        <w:jc w:val="left"/>
        <w:rPr>
          <w:rFonts w:hint="default"/>
          <w:lang w:val="en-US"/>
        </w:rPr>
      </w:pPr>
      <w:r>
        <w:rPr>
          <w:rFonts w:hint="default"/>
          <w:lang w:val="en-US"/>
        </w:rPr>
        <w:t xml:space="preserve">Expand the action space to include partial buy/sell and short selling.  </w:t>
      </w:r>
    </w:p>
    <w:p w14:paraId="48DE2066">
      <w:pPr>
        <w:numPr>
          <w:ilvl w:val="1"/>
          <w:numId w:val="12"/>
        </w:numPr>
        <w:ind w:left="845" w:leftChars="0" w:hanging="425" w:firstLineChars="0"/>
        <w:jc w:val="left"/>
        <w:rPr>
          <w:rFonts w:hint="default"/>
          <w:lang w:val="en-US"/>
        </w:rPr>
      </w:pPr>
      <w:r>
        <w:rPr>
          <w:rFonts w:hint="default"/>
          <w:lang w:val="en-US"/>
        </w:rPr>
        <w:t xml:space="preserve">Incorporate RNN or LSTM modules for better time-series feature extraction.  </w:t>
      </w:r>
    </w:p>
    <w:p w14:paraId="2B3DD859">
      <w:pPr>
        <w:numPr>
          <w:ilvl w:val="1"/>
          <w:numId w:val="12"/>
        </w:numPr>
        <w:ind w:left="845" w:leftChars="0" w:hanging="425" w:firstLineChars="0"/>
        <w:jc w:val="left"/>
        <w:rPr>
          <w:rFonts w:hint="default"/>
          <w:lang w:val="en-US"/>
        </w:rPr>
      </w:pPr>
      <w:r>
        <w:rPr>
          <w:rFonts w:hint="default"/>
          <w:lang w:val="en-US"/>
        </w:rPr>
        <w:t xml:space="preserve">Provide sector and industry context as input features.  </w:t>
      </w:r>
    </w:p>
    <w:p w14:paraId="227C317A">
      <w:pPr>
        <w:numPr>
          <w:ilvl w:val="1"/>
          <w:numId w:val="12"/>
        </w:numPr>
        <w:ind w:left="845" w:leftChars="0" w:hanging="425" w:firstLineChars="0"/>
        <w:jc w:val="left"/>
        <w:rPr>
          <w:rFonts w:hint="default"/>
          <w:lang w:val="en-US"/>
        </w:rPr>
      </w:pPr>
      <w:r>
        <w:rPr>
          <w:rFonts w:hint="default"/>
          <w:lang w:val="en-US"/>
        </w:rPr>
        <w:t xml:space="preserve">Online retraining to adapt to new market conditions.  </w:t>
      </w:r>
    </w:p>
    <w:p w14:paraId="518D9707">
      <w:pPr>
        <w:numPr>
          <w:ilvl w:val="1"/>
          <w:numId w:val="12"/>
        </w:numPr>
        <w:ind w:left="845" w:leftChars="0" w:hanging="425" w:firstLineChars="0"/>
        <w:jc w:val="left"/>
        <w:rPr>
          <w:rFonts w:hint="default"/>
          <w:lang w:val="en-US"/>
        </w:rPr>
      </w:pPr>
      <w:r>
        <w:rPr>
          <w:rFonts w:hint="default"/>
          <w:lang w:val="en-US"/>
        </w:rPr>
        <w:t xml:space="preserve">Multi-asset, portfolio-based reinforcement learning.  </w:t>
      </w:r>
    </w:p>
    <w:p w14:paraId="762EC548">
      <w:pPr>
        <w:pStyle w:val="6"/>
      </w:pPr>
      <w:bookmarkStart w:id="0" w:name="_GoBack"/>
      <w:bookmarkEnd w:id="0"/>
      <w:r>
        <w:t>References</w:t>
      </w:r>
    </w:p>
    <w:p w14:paraId="402AF685">
      <w:pPr>
        <w:pStyle w:val="28"/>
        <w:ind w:left="354" w:hanging="354"/>
        <w:rPr>
          <w:rFonts w:hint="eastAsia"/>
          <w:lang w:val="en-US" w:eastAsia="en-US"/>
        </w:rPr>
      </w:pPr>
      <w:r>
        <w:rPr>
          <w:rFonts w:hint="eastAsia"/>
          <w:lang w:val="en-US" w:eastAsia="en-US"/>
        </w:rPr>
        <w:t>Federal Reserve Economic Data</w:t>
      </w:r>
      <w:r>
        <w:rPr>
          <w:rFonts w:hint="default"/>
          <w:lang w:val="en-US" w:eastAsia="en-US"/>
        </w:rPr>
        <w:t xml:space="preserve"> </w:t>
      </w:r>
      <w:r>
        <w:rPr>
          <w:rFonts w:hint="default"/>
          <w:lang w:val="en-US" w:eastAsia="en-US"/>
        </w:rPr>
        <w:fldChar w:fldCharType="begin"/>
      </w:r>
      <w:r>
        <w:rPr>
          <w:rFonts w:hint="default"/>
          <w:lang w:val="en-US" w:eastAsia="en-US"/>
        </w:rPr>
        <w:instrText xml:space="preserve"> HYPERLINK "https://fred.stlouisfed.org/" </w:instrText>
      </w:r>
      <w:r>
        <w:rPr>
          <w:rFonts w:hint="default"/>
          <w:lang w:val="en-US" w:eastAsia="en-US"/>
        </w:rPr>
        <w:fldChar w:fldCharType="separate"/>
      </w:r>
      <w:r>
        <w:rPr>
          <w:rStyle w:val="15"/>
          <w:rFonts w:hint="default"/>
          <w:lang w:val="en-US" w:eastAsia="en-US"/>
        </w:rPr>
        <w:t>https://fred.stlouisfed.org/</w:t>
      </w:r>
      <w:r>
        <w:rPr>
          <w:rFonts w:hint="default"/>
          <w:lang w:val="en-US" w:eastAsia="en-US"/>
        </w:rPr>
        <w:fldChar w:fldCharType="end"/>
      </w:r>
    </w:p>
    <w:p w14:paraId="731C85E7">
      <w:pPr>
        <w:pStyle w:val="28"/>
        <w:ind w:left="354" w:hanging="354"/>
        <w:rPr>
          <w:rFonts w:hint="eastAsia"/>
          <w:lang w:val="en-US" w:eastAsia="en-US"/>
        </w:rPr>
      </w:pPr>
      <w:r>
        <w:rPr>
          <w:rFonts w:hint="eastAsia"/>
          <w:lang w:val="en-US" w:eastAsia="en-US"/>
        </w:rPr>
        <w:t>L. Chen and Q. Gao, “Application of deep reinforcement learning on automated stock trading,” in 2019 IEEE 10th International Conference on Software Engineering and Service Science (ICSESS). IEEE, 2019, pp. 29–33.</w:t>
      </w:r>
    </w:p>
    <w:p w14:paraId="62115389">
      <w:pPr>
        <w:pStyle w:val="28"/>
        <w:ind w:left="354" w:hanging="354"/>
        <w:rPr>
          <w:rFonts w:hint="eastAsia"/>
          <w:lang w:val="en-US" w:eastAsia="en-US"/>
        </w:rPr>
      </w:pPr>
      <w:r>
        <w:rPr>
          <w:rFonts w:hint="eastAsia"/>
          <w:lang w:val="en-US" w:eastAsia="en-US"/>
        </w:rPr>
        <w:t xml:space="preserve">Alameer, A., Saleh, H., &amp; Alshehri, K. (2022). *Reinforcement Learning in Quantitative Trading: A Survey.* TechRxiv. March 10, 2022.  </w:t>
      </w:r>
    </w:p>
    <w:p w14:paraId="283A2A96">
      <w:pPr>
        <w:pStyle w:val="28"/>
        <w:ind w:left="354" w:hanging="354"/>
        <w:rPr>
          <w:rFonts w:hint="eastAsia"/>
          <w:lang w:val="en-US" w:eastAsia="en-US"/>
        </w:rPr>
      </w:pPr>
      <w:r>
        <w:rPr>
          <w:rFonts w:hint="default"/>
          <w:lang w:val="en-US" w:eastAsia="en-US"/>
        </w:rPr>
        <w:t>y</w:t>
      </w:r>
      <w:r>
        <w:rPr>
          <w:rFonts w:hint="eastAsia"/>
          <w:lang w:val="en-US" w:eastAsia="en-US"/>
        </w:rPr>
        <w:t>finance</w:t>
      </w:r>
      <w:r>
        <w:rPr>
          <w:rFonts w:hint="default"/>
          <w:lang w:val="en-US" w:eastAsia="en-US"/>
        </w:rPr>
        <w:t xml:space="preserve"> </w:t>
      </w:r>
      <w:r>
        <w:rPr>
          <w:rFonts w:hint="eastAsia"/>
          <w:lang w:val="en-US" w:eastAsia="en-US"/>
        </w:rPr>
        <w:t>https://pypi.org/project/yfinance/</w:t>
      </w:r>
      <w:r>
        <w:rPr>
          <w:rFonts w:hint="default"/>
          <w:lang w:val="en-US" w:eastAsia="en-US"/>
        </w:rPr>
        <w:t xml:space="preserve"> </w:t>
      </w:r>
    </w:p>
    <w:p w14:paraId="55811E08">
      <w:pPr>
        <w:pStyle w:val="28"/>
        <w:ind w:left="354" w:hanging="354"/>
        <w:rPr>
          <w:rFonts w:hint="eastAsia"/>
          <w:lang w:val="en-US" w:eastAsia="en-US"/>
        </w:rPr>
      </w:pPr>
      <w:r>
        <w:rPr>
          <w:rFonts w:hint="eastAsia"/>
          <w:lang w:val="en-US" w:eastAsia="en-US"/>
        </w:rPr>
        <w:t>Board of Governors of the Federal Reserve System (US), Federal Funds Effective Rate [FEDFUNDS], retrieved from FRED, Federal Reserve Bank of St. Louis; https://fred.stlouisfed.org/series/FEDFUNDS, December 15, 2024.</w:t>
      </w:r>
    </w:p>
    <w:p w14:paraId="26A7B272">
      <w:pPr>
        <w:pStyle w:val="28"/>
        <w:ind w:left="354" w:hanging="354"/>
        <w:rPr>
          <w:rFonts w:hint="eastAsia"/>
          <w:lang w:val="en-US" w:eastAsia="en-US"/>
        </w:rPr>
      </w:pPr>
      <w:r>
        <w:rPr>
          <w:rFonts w:hint="eastAsia"/>
          <w:lang w:val="en-US" w:eastAsia="en-US"/>
        </w:rPr>
        <w:t>University of Michigan, University of Michigan: Consumer Sentiment [UMCSENT], retrieved from FRED, Federal Reserve Bank of St. Louis; https://fred.stlouisfed.org/series/UMCSENT, December 15, 2024.</w:t>
      </w:r>
    </w:p>
    <w:p w14:paraId="53831F73">
      <w:pPr>
        <w:pStyle w:val="28"/>
        <w:ind w:left="354" w:hanging="354"/>
        <w:rPr>
          <w:rFonts w:hint="eastAsia"/>
          <w:lang w:val="en-US" w:eastAsia="en-US"/>
        </w:rPr>
      </w:pPr>
      <w:r>
        <w:rPr>
          <w:rFonts w:hint="eastAsia"/>
          <w:lang w:val="en-US" w:eastAsia="en-US"/>
        </w:rPr>
        <w:t>U.S. Bureau of Labor Statistics, Consumer Price Index for All Urban Consumers: All Items in U.S. City Average [CPIAUCSL], retrieved from FRED, Federal Reserve Bank of St. Louis; https://fred.stlouisfed.org/series/CPIAUCSL, December 15, 2024.</w:t>
      </w:r>
    </w:p>
    <w:p w14:paraId="0CA097E5">
      <w:pPr>
        <w:pStyle w:val="28"/>
        <w:ind w:left="354" w:hanging="354"/>
        <w:rPr>
          <w:rFonts w:hint="eastAsia"/>
          <w:lang w:val="en-US" w:eastAsia="en-US"/>
        </w:rPr>
      </w:pPr>
      <w:r>
        <w:rPr>
          <w:rFonts w:hint="eastAsia"/>
          <w:lang w:val="en-US" w:eastAsia="en-US"/>
        </w:rPr>
        <w:t>U.S. Census Bureau, Retail Sales: Retail Trade [MRTSSM44000USS], retrieved from FRED, Federal Reserve Bank of St. Louis; https://fred.stlouisfed.org/series/MRTSSM44000USS, December 15, 2024.</w:t>
      </w:r>
    </w:p>
    <w:p w14:paraId="0A3B85CB">
      <w:pPr>
        <w:pStyle w:val="28"/>
        <w:ind w:left="354" w:hanging="354"/>
        <w:rPr>
          <w:rFonts w:hint="eastAsia"/>
          <w:lang w:val="en-US" w:eastAsia="en-US"/>
        </w:rPr>
      </w:pPr>
      <w:r>
        <w:rPr>
          <w:rFonts w:hint="eastAsia"/>
          <w:lang w:val="en-US" w:eastAsia="en-US"/>
        </w:rPr>
        <w:t>Board of Governors of the Federal Reserve System (US), Capacity Utilization: Total Index [TCU], retrieved from FRED, Federal Reserve Bank of St. Louis; https://fred.stlouisfed.org/series/TCU, December 15, 2024.</w:t>
      </w:r>
    </w:p>
    <w:p w14:paraId="4DC85E5E">
      <w:pPr>
        <w:pStyle w:val="28"/>
        <w:spacing w:after="0" w:line="240" w:lineRule="auto"/>
        <w:ind w:left="0" w:firstLine="0"/>
        <w:rPr>
          <w:rFonts w:hint="eastAsia"/>
          <w:lang w:val="zh-CN" w:eastAsia="zh-CN"/>
        </w:rPr>
        <w:sectPr>
          <w:type w:val="continuous"/>
          <w:pgSz w:w="12240" w:h="15840"/>
          <w:pgMar w:top="1080" w:right="907" w:bottom="1440" w:left="907" w:header="720" w:footer="720" w:gutter="0"/>
          <w:cols w:space="360" w:num="2"/>
          <w:docGrid w:linePitch="360" w:charSpace="0"/>
        </w:sectPr>
      </w:pPr>
      <w:r>
        <w:rPr>
          <w:rFonts w:hint="eastAsia"/>
          <w:lang w:val="en-US" w:eastAsia="en-US"/>
        </w:rPr>
        <w:t>stock-indicators</w:t>
      </w:r>
      <w:r>
        <w:rPr>
          <w:rFonts w:hint="default"/>
          <w:lang w:val="en-US" w:eastAsia="en-US"/>
        </w:rPr>
        <w:t xml:space="preserve"> </w:t>
      </w:r>
      <w:r>
        <w:rPr>
          <w:rFonts w:hint="eastAsia"/>
          <w:lang w:val="en-US" w:eastAsia="en-US"/>
        </w:rPr>
        <w:fldChar w:fldCharType="begin"/>
      </w:r>
      <w:r>
        <w:rPr>
          <w:rFonts w:hint="eastAsia"/>
          <w:lang w:val="en-US" w:eastAsia="en-US"/>
        </w:rPr>
        <w:instrText xml:space="preserve"> HYPERLINK "https://python.stockindicators.dev/guide" </w:instrText>
      </w:r>
      <w:r>
        <w:rPr>
          <w:rFonts w:hint="eastAsia"/>
          <w:lang w:val="en-US" w:eastAsia="en-US"/>
        </w:rPr>
        <w:fldChar w:fldCharType="separate"/>
      </w:r>
      <w:r>
        <w:rPr>
          <w:rStyle w:val="15"/>
          <w:rFonts w:hint="eastAsia"/>
          <w:lang w:val="en-US" w:eastAsia="en-US"/>
        </w:rPr>
        <w:t>https://python.stockindicators.dev/guide</w:t>
      </w:r>
      <w:r>
        <w:rPr>
          <w:rStyle w:val="15"/>
          <w:rFonts w:hint="eastAsia"/>
          <w:lang w:val="en-US" w:eastAsia="en-US"/>
        </w:rPr>
        <w:br w:type="textWrapping"/>
      </w:r>
      <w:r>
        <w:rPr>
          <w:rFonts w:hint="eastAsia"/>
          <w:lang w:val="en-US" w:eastAsia="en-US"/>
        </w:rPr>
        <w:fldChar w:fldCharType="end"/>
      </w:r>
    </w:p>
    <w:p w14:paraId="6FC6C90C">
      <w:pPr>
        <w:pStyle w:val="28"/>
        <w:numPr>
          <w:numId w:val="0"/>
        </w:numPr>
        <w:ind w:leftChars="0"/>
        <w:rPr>
          <w:rFonts w:hint="eastAsia"/>
          <w:lang w:val="en-US" w:eastAsia="en-US"/>
        </w:rPr>
      </w:pPr>
    </w:p>
    <w:sectPr>
      <w:type w:val="continuous"/>
      <w:pgSz w:w="12240" w:h="15840"/>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NimbusRomNo9L-Regu">
    <w:altName w:val="Yu Gothic"/>
    <w:panose1 w:val="00000000000000000000"/>
    <w:charset w:val="0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21F62">
    <w:pPr>
      <w:pStyle w:val="12"/>
      <w:jc w:val="left"/>
      <w:rPr>
        <w:sz w:val="16"/>
        <w:szCs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B31219"/>
    <w:multiLevelType w:val="multilevel"/>
    <w:tmpl w:val="8BB31219"/>
    <w:lvl w:ilvl="0" w:tentative="0">
      <w:start w:val="1"/>
      <w:numFmt w:val="upperLetter"/>
      <w:lvlText w:val="%1."/>
      <w:lvlJc w:val="left"/>
      <w:pPr>
        <w:tabs>
          <w:tab w:val="left" w:pos="425"/>
        </w:tabs>
        <w:ind w:left="425" w:leftChars="0" w:hanging="425" w:firstLineChars="0"/>
      </w:pPr>
      <w:rPr>
        <w:rFonts w:hint="default"/>
        <w:i/>
        <w:iCs/>
      </w:rPr>
    </w:lvl>
    <w:lvl w:ilvl="1" w:tentative="0">
      <w:start w:val="1"/>
      <w:numFmt w:val="lowerLetter"/>
      <w:lvlText w:val="%2)"/>
      <w:lvlJc w:val="left"/>
      <w:pPr>
        <w:tabs>
          <w:tab w:val="left" w:pos="840"/>
        </w:tabs>
        <w:ind w:left="840" w:leftChars="0" w:hanging="420" w:firstLineChars="0"/>
      </w:pPr>
      <w:rPr>
        <w:rFonts w:hint="default"/>
        <w:i/>
        <w:iCs/>
      </w:rPr>
    </w:lvl>
    <w:lvl w:ilvl="2" w:tentative="0">
      <w:start w:val="1"/>
      <w:numFmt w:val="lowerRoman"/>
      <w:lvlText w:val="%3."/>
      <w:lvlJc w:val="left"/>
      <w:pPr>
        <w:tabs>
          <w:tab w:val="left" w:pos="1260"/>
        </w:tabs>
        <w:ind w:left="1260" w:leftChars="0" w:hanging="420" w:firstLineChars="0"/>
      </w:pPr>
      <w:rPr>
        <w:rFonts w:hint="default"/>
        <w:i w:val="0"/>
        <w:iCs w:val="0"/>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E1512D1"/>
    <w:multiLevelType w:val="multilevel"/>
    <w:tmpl w:val="9E1512D1"/>
    <w:lvl w:ilvl="0" w:tentative="0">
      <w:start w:val="1"/>
      <w:numFmt w:val="upp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i/>
        <w:iCs/>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A3C4AB1E"/>
    <w:multiLevelType w:val="multilevel"/>
    <w:tmpl w:val="A3C4AB1E"/>
    <w:lvl w:ilvl="0" w:tentative="0">
      <w:start w:val="1"/>
      <w:numFmt w:val="upp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i/>
        <w:iCs/>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AF29AB7"/>
    <w:multiLevelType w:val="multilevel"/>
    <w:tmpl w:val="AAF29AB7"/>
    <w:lvl w:ilvl="0" w:tentative="0">
      <w:start w:val="1"/>
      <w:numFmt w:val="upperLetter"/>
      <w:lvlText w:val="%1."/>
      <w:lvlJc w:val="left"/>
      <w:pPr>
        <w:tabs>
          <w:tab w:val="left" w:pos="425"/>
        </w:tabs>
        <w:ind w:left="425" w:leftChars="0" w:hanging="425" w:firstLineChars="0"/>
      </w:pPr>
      <w:rPr>
        <w:rFonts w:hint="default"/>
        <w:i/>
        <w:i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26FE1FCF"/>
    <w:multiLevelType w:val="multilevel"/>
    <w:tmpl w:val="26FE1FCF"/>
    <w:lvl w:ilvl="0" w:tentative="0">
      <w:start w:val="1"/>
      <w:numFmt w:val="decimal"/>
      <w:pStyle w:val="25"/>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37660336"/>
    <w:multiLevelType w:val="multilevel"/>
    <w:tmpl w:val="37660336"/>
    <w:lvl w:ilvl="0" w:tentative="0">
      <w:start w:val="1"/>
      <w:numFmt w:val="bullet"/>
      <w:pStyle w:val="22"/>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7">
    <w:nsid w:val="493C3F76"/>
    <w:multiLevelType w:val="multilevel"/>
    <w:tmpl w:val="493C3F76"/>
    <w:lvl w:ilvl="0" w:tentative="0">
      <w:start w:val="1"/>
      <w:numFmt w:val="lowerLetter"/>
      <w:pStyle w:val="33"/>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2CA544A"/>
    <w:multiLevelType w:val="singleLevel"/>
    <w:tmpl w:val="52CA544A"/>
    <w:lvl w:ilvl="0" w:tentative="0">
      <w:start w:val="1"/>
      <w:numFmt w:val="decimal"/>
      <w:pStyle w:val="28"/>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9">
    <w:nsid w:val="6356C9D7"/>
    <w:multiLevelType w:val="singleLevel"/>
    <w:tmpl w:val="6356C9D7"/>
    <w:lvl w:ilvl="0" w:tentative="0">
      <w:start w:val="1"/>
      <w:numFmt w:val="upperLetter"/>
      <w:lvlText w:val="%1."/>
      <w:lvlJc w:val="left"/>
      <w:pPr>
        <w:tabs>
          <w:tab w:val="left" w:pos="425"/>
        </w:tabs>
        <w:ind w:left="425" w:leftChars="0" w:hanging="425" w:firstLineChars="0"/>
      </w:pPr>
      <w:rPr>
        <w:rFonts w:hint="default"/>
        <w:i/>
        <w:iCs/>
      </w:rPr>
    </w:lvl>
  </w:abstractNum>
  <w:abstractNum w:abstractNumId="10">
    <w:nsid w:val="6C402C58"/>
    <w:multiLevelType w:val="multilevel"/>
    <w:tmpl w:val="6C402C58"/>
    <w:lvl w:ilvl="0" w:tentative="0">
      <w:start w:val="1"/>
      <w:numFmt w:val="decimal"/>
      <w:pStyle w:val="24"/>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tentative="0">
      <w:start w:val="1"/>
      <w:numFmt w:val="upperRoman"/>
      <w:pStyle w:val="34"/>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6"/>
  </w:num>
  <w:num w:numId="2">
    <w:abstractNumId w:val="5"/>
  </w:num>
  <w:num w:numId="3">
    <w:abstractNumId w:val="10"/>
  </w:num>
  <w:num w:numId="4">
    <w:abstractNumId w:val="4"/>
  </w:num>
  <w:num w:numId="5">
    <w:abstractNumId w:val="8"/>
  </w:num>
  <w:num w:numId="6">
    <w:abstractNumId w:val="7"/>
  </w:num>
  <w:num w:numId="7">
    <w:abstractNumId w:val="11"/>
  </w:num>
  <w:num w:numId="8">
    <w:abstractNumId w:val="9"/>
  </w:num>
  <w:num w:numId="9">
    <w:abstractNumId w:val="2"/>
  </w:num>
  <w:num w:numId="10">
    <w:abstractNumId w:val="0"/>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2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5079E"/>
    <w:rsid w:val="00156B74"/>
    <w:rsid w:val="001A2EFD"/>
    <w:rsid w:val="001A3B3D"/>
    <w:rsid w:val="001A42EA"/>
    <w:rsid w:val="001B67DC"/>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72203"/>
    <w:rsid w:val="00A059B3"/>
    <w:rsid w:val="00A83751"/>
    <w:rsid w:val="00AE3409"/>
    <w:rsid w:val="00B11A60"/>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12284"/>
    <w:rsid w:val="00F271DE"/>
    <w:rsid w:val="00F627DA"/>
    <w:rsid w:val="00F7288F"/>
    <w:rsid w:val="00F847A6"/>
    <w:rsid w:val="00F9441B"/>
    <w:rsid w:val="00F96569"/>
    <w:rsid w:val="00FA4C32"/>
    <w:rsid w:val="00FE7114"/>
    <w:rsid w:val="041C0985"/>
    <w:rsid w:val="067D0B43"/>
    <w:rsid w:val="08F9403F"/>
    <w:rsid w:val="092A7360"/>
    <w:rsid w:val="0BBE6479"/>
    <w:rsid w:val="24E766DB"/>
    <w:rsid w:val="397506AA"/>
    <w:rsid w:val="4A8431A6"/>
    <w:rsid w:val="4C3329CF"/>
    <w:rsid w:val="535408D4"/>
    <w:rsid w:val="6E292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宋体"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1"/>
    <w:uiPriority w:val="0"/>
    <w:pPr>
      <w:tabs>
        <w:tab w:val="left" w:pos="288"/>
      </w:tabs>
      <w:spacing w:after="120" w:line="228" w:lineRule="auto"/>
      <w:ind w:firstLine="288"/>
      <w:jc w:val="both"/>
    </w:pPr>
    <w:rPr>
      <w:spacing w:val="-1"/>
      <w:lang w:val="zh-CN" w:eastAsia="zh-CN"/>
    </w:r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7"/>
    <w:qFormat/>
    <w:uiPriority w:val="0"/>
    <w:rPr>
      <w:i/>
      <w:iCs/>
    </w:rPr>
  </w:style>
  <w:style w:type="paragraph" w:styleId="12">
    <w:name w:val="footer"/>
    <w:basedOn w:val="1"/>
    <w:link w:val="37"/>
    <w:uiPriority w:val="0"/>
    <w:pPr>
      <w:tabs>
        <w:tab w:val="center" w:pos="4680"/>
        <w:tab w:val="right" w:pos="9360"/>
      </w:tabs>
    </w:pPr>
  </w:style>
  <w:style w:type="paragraph" w:styleId="13">
    <w:name w:val="header"/>
    <w:basedOn w:val="1"/>
    <w:link w:val="36"/>
    <w:uiPriority w:val="0"/>
    <w:pPr>
      <w:tabs>
        <w:tab w:val="center" w:pos="4680"/>
        <w:tab w:val="right" w:pos="9360"/>
      </w:tabs>
    </w:pPr>
  </w:style>
  <w:style w:type="character" w:styleId="14">
    <w:name w:val="HTML Code"/>
    <w:basedOn w:val="7"/>
    <w:uiPriority w:val="0"/>
    <w:rPr>
      <w:rFonts w:ascii="Courier New" w:hAnsi="Courier New" w:cs="Courier New"/>
      <w:sz w:val="20"/>
      <w:szCs w:val="20"/>
    </w:rPr>
  </w:style>
  <w:style w:type="character" w:styleId="15">
    <w:name w:val="Hyperlink"/>
    <w:basedOn w:val="7"/>
    <w:uiPriority w:val="0"/>
    <w:rPr>
      <w:color w:val="0563C1" w:themeColor="hyperlink"/>
      <w:u w:val="single"/>
      <w14:textFill>
        <w14:solidFill>
          <w14:schemeClr w14:val="hlink"/>
        </w14:solidFill>
      </w14:textFill>
    </w:rPr>
  </w:style>
  <w:style w:type="paragraph" w:styleId="16">
    <w:name w:val="Normal (Web)"/>
    <w:uiPriority w:val="0"/>
    <w:pPr>
      <w:spacing w:before="0" w:beforeAutospacing="1" w:after="0" w:afterAutospacing="1"/>
      <w:ind w:left="0" w:right="0"/>
      <w:jc w:val="left"/>
    </w:pPr>
    <w:rPr>
      <w:kern w:val="0"/>
      <w:sz w:val="24"/>
      <w:szCs w:val="24"/>
      <w:lang w:val="en-US" w:eastAsia="zh-CN" w:bidi="ar"/>
    </w:rPr>
  </w:style>
  <w:style w:type="character" w:styleId="17">
    <w:name w:val="Strong"/>
    <w:basedOn w:val="7"/>
    <w:qFormat/>
    <w:uiPriority w:val="0"/>
    <w:rPr>
      <w:b/>
      <w:bCs/>
    </w:rPr>
  </w:style>
  <w:style w:type="paragraph" w:customStyle="1" w:styleId="18">
    <w:name w:val="Abstract"/>
    <w:qFormat/>
    <w:uiPriority w:val="0"/>
    <w:pPr>
      <w:spacing w:after="200"/>
      <w:ind w:firstLine="272"/>
      <w:jc w:val="both"/>
    </w:pPr>
    <w:rPr>
      <w:rFonts w:ascii="Times New Roman" w:hAnsi="Times New Roman" w:eastAsia="宋体" w:cs="Times New Roman"/>
      <w:b/>
      <w:bCs/>
      <w:sz w:val="18"/>
      <w:szCs w:val="18"/>
      <w:lang w:val="en-US" w:eastAsia="en-US" w:bidi="ar-SA"/>
    </w:rPr>
  </w:style>
  <w:style w:type="paragraph" w:customStyle="1" w:styleId="19">
    <w:name w:val="Affiliation"/>
    <w:qFormat/>
    <w:uiPriority w:val="0"/>
    <w:pPr>
      <w:jc w:val="center"/>
    </w:pPr>
    <w:rPr>
      <w:rFonts w:ascii="Times New Roman" w:hAnsi="Times New Roman" w:eastAsia="宋体" w:cs="Times New Roman"/>
      <w:lang w:val="en-US" w:eastAsia="en-US" w:bidi="ar-SA"/>
    </w:rPr>
  </w:style>
  <w:style w:type="paragraph" w:customStyle="1" w:styleId="20">
    <w:name w:val="Author"/>
    <w:uiPriority w:val="0"/>
    <w:pPr>
      <w:spacing w:before="360" w:after="40"/>
      <w:jc w:val="center"/>
    </w:pPr>
    <w:rPr>
      <w:rFonts w:ascii="Times New Roman" w:hAnsi="Times New Roman" w:eastAsia="宋体" w:cs="Times New Roman"/>
      <w:sz w:val="22"/>
      <w:szCs w:val="22"/>
      <w:lang w:val="en-US" w:eastAsia="en-US" w:bidi="ar-SA"/>
    </w:rPr>
  </w:style>
  <w:style w:type="character" w:customStyle="1" w:styleId="21">
    <w:name w:val="Body Text Char"/>
    <w:link w:val="9"/>
    <w:uiPriority w:val="0"/>
    <w:rPr>
      <w:spacing w:val="-1"/>
      <w:lang w:val="zh-CN" w:eastAsia="zh-CN"/>
    </w:rPr>
  </w:style>
  <w:style w:type="paragraph" w:customStyle="1" w:styleId="22">
    <w:name w:val="bullet list"/>
    <w:basedOn w:val="9"/>
    <w:qFormat/>
    <w:uiPriority w:val="0"/>
    <w:pPr>
      <w:numPr>
        <w:ilvl w:val="0"/>
        <w:numId w:val="2"/>
      </w:numPr>
      <w:tabs>
        <w:tab w:val="clear" w:pos="648"/>
      </w:tabs>
      <w:ind w:left="576" w:hanging="288"/>
    </w:pPr>
  </w:style>
  <w:style w:type="paragraph" w:customStyle="1" w:styleId="23">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4">
    <w:name w:val="figure caption"/>
    <w:uiPriority w:val="0"/>
    <w:pPr>
      <w:numPr>
        <w:ilvl w:val="0"/>
        <w:numId w:val="3"/>
      </w:numPr>
      <w:tabs>
        <w:tab w:val="left" w:pos="533"/>
      </w:tabs>
      <w:spacing w:before="80" w:after="200"/>
      <w:ind w:left="0" w:firstLine="0"/>
      <w:jc w:val="both"/>
    </w:pPr>
    <w:rPr>
      <w:rFonts w:ascii="Times New Roman" w:hAnsi="Times New Roman" w:eastAsia="宋体" w:cs="Times New Roman"/>
      <w:sz w:val="16"/>
      <w:szCs w:val="16"/>
      <w:lang w:val="en-US" w:eastAsia="en-US" w:bidi="ar-SA"/>
    </w:rPr>
  </w:style>
  <w:style w:type="paragraph" w:customStyle="1" w:styleId="25">
    <w:name w:val="footnote"/>
    <w:uiPriority w:val="0"/>
    <w:pPr>
      <w:framePr w:hSpace="187" w:vSpace="187" w:wrap="notBeside" w:vAnchor="text" w:hAnchor="page" w:x="6121" w:y="577"/>
      <w:numPr>
        <w:ilvl w:val="0"/>
        <w:numId w:val="4"/>
      </w:numPr>
      <w:spacing w:after="40"/>
    </w:pPr>
    <w:rPr>
      <w:rFonts w:ascii="Times New Roman" w:hAnsi="Times New Roman" w:eastAsia="宋体" w:cs="Times New Roman"/>
      <w:sz w:val="16"/>
      <w:szCs w:val="16"/>
      <w:lang w:val="en-US" w:eastAsia="en-US" w:bidi="ar-SA"/>
    </w:rPr>
  </w:style>
  <w:style w:type="paragraph" w:customStyle="1" w:styleId="26">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7">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28">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9">
    <w:name w:val="sponsors"/>
    <w:uiPriority w:val="0"/>
    <w:pPr>
      <w:framePr w:wrap="auto" w:vAnchor="margin" w:hAnchor="text" w:x="615" w:y="2239"/>
      <w:pBdr>
        <w:top w:val="single" w:color="auto" w:sz="4" w:space="2"/>
      </w:pBdr>
      <w:ind w:firstLine="288"/>
    </w:pPr>
    <w:rPr>
      <w:rFonts w:ascii="Times New Roman" w:hAnsi="Times New Roman" w:eastAsia="宋体" w:cs="Times New Roman"/>
      <w:sz w:val="16"/>
      <w:szCs w:val="16"/>
      <w:lang w:val="en-US" w:eastAsia="en-US" w:bidi="ar-SA"/>
    </w:rPr>
  </w:style>
  <w:style w:type="paragraph" w:customStyle="1" w:styleId="30">
    <w:name w:val="table col head"/>
    <w:basedOn w:val="1"/>
    <w:qFormat/>
    <w:uiPriority w:val="0"/>
    <w:rPr>
      <w:b/>
      <w:bCs/>
      <w:sz w:val="16"/>
      <w:szCs w:val="16"/>
    </w:rPr>
  </w:style>
  <w:style w:type="paragraph" w:customStyle="1" w:styleId="31">
    <w:name w:val="table col subhead"/>
    <w:basedOn w:val="30"/>
    <w:qFormat/>
    <w:uiPriority w:val="0"/>
    <w:rPr>
      <w:i/>
      <w:iCs/>
      <w:sz w:val="15"/>
      <w:szCs w:val="15"/>
    </w:rPr>
  </w:style>
  <w:style w:type="paragraph" w:customStyle="1" w:styleId="32">
    <w:name w:val="table copy"/>
    <w:qFormat/>
    <w:uiPriority w:val="0"/>
    <w:pPr>
      <w:jc w:val="both"/>
    </w:pPr>
    <w:rPr>
      <w:rFonts w:ascii="Times New Roman" w:hAnsi="Times New Roman" w:eastAsia="宋体" w:cs="Times New Roman"/>
      <w:sz w:val="16"/>
      <w:szCs w:val="16"/>
      <w:lang w:val="en-US" w:eastAsia="en-US" w:bidi="ar-SA"/>
    </w:rPr>
  </w:style>
  <w:style w:type="paragraph" w:customStyle="1" w:styleId="33">
    <w:name w:val="table footnote"/>
    <w:qFormat/>
    <w:uiPriority w:val="0"/>
    <w:pPr>
      <w:numPr>
        <w:ilvl w:val="0"/>
        <w:numId w:val="6"/>
      </w:numPr>
      <w:spacing w:before="60" w:after="30"/>
      <w:ind w:left="58" w:hanging="29"/>
      <w:jc w:val="right"/>
    </w:pPr>
    <w:rPr>
      <w:rFonts w:ascii="Times New Roman" w:hAnsi="Times New Roman" w:eastAsia="宋体" w:cs="Times New Roman"/>
      <w:sz w:val="12"/>
      <w:szCs w:val="12"/>
      <w:lang w:val="en-US" w:eastAsia="en-US" w:bidi="ar-SA"/>
    </w:rPr>
  </w:style>
  <w:style w:type="paragraph" w:customStyle="1" w:styleId="34">
    <w:name w:val="table head"/>
    <w:uiPriority w:val="0"/>
    <w:pPr>
      <w:numPr>
        <w:ilvl w:val="0"/>
        <w:numId w:val="7"/>
      </w:numPr>
      <w:spacing w:before="240" w:after="120" w:line="216" w:lineRule="auto"/>
      <w:jc w:val="center"/>
    </w:pPr>
    <w:rPr>
      <w:rFonts w:ascii="Times New Roman" w:hAnsi="Times New Roman" w:eastAsia="宋体" w:cs="Times New Roman"/>
      <w:smallCaps/>
      <w:sz w:val="16"/>
      <w:szCs w:val="16"/>
      <w:lang w:val="en-US" w:eastAsia="en-US" w:bidi="ar-SA"/>
    </w:rPr>
  </w:style>
  <w:style w:type="paragraph" w:customStyle="1" w:styleId="35">
    <w:name w:val="Keywords"/>
    <w:basedOn w:val="18"/>
    <w:qFormat/>
    <w:uiPriority w:val="0"/>
    <w:pPr>
      <w:spacing w:after="120"/>
      <w:ind w:firstLine="274"/>
    </w:pPr>
    <w:rPr>
      <w:i/>
    </w:rPr>
  </w:style>
  <w:style w:type="character" w:customStyle="1" w:styleId="36">
    <w:name w:val="Header Char"/>
    <w:basedOn w:val="7"/>
    <w:link w:val="13"/>
    <w:uiPriority w:val="0"/>
  </w:style>
  <w:style w:type="character" w:customStyle="1" w:styleId="37">
    <w:name w:val="Footer Char"/>
    <w:basedOn w:val="7"/>
    <w:link w:val="12"/>
    <w:uiPriority w:val="0"/>
  </w:style>
  <w:style w:type="character" w:customStyle="1" w:styleId="38">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svg"/><Relationship Id="rId7" Type="http://schemas.openxmlformats.org/officeDocument/2006/relationships/image" Target="media/image3.png"/><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svg"/><Relationship Id="rId11" Type="http://schemas.openxmlformats.org/officeDocument/2006/relationships/image" Target="media/image7.png"/><Relationship Id="rId10" Type="http://schemas.openxmlformats.org/officeDocument/2006/relationships/image" Target="media/image6.sv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extobjs>
    <extobj name="2384804F-3998-4D57-9195-F3826E402611-3">
      <extobjdata type="2384804F-3998-4D57-9195-F3826E402611" data="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"/>
    </extobj>
    <extobj name="2384804F-3998-4D57-9195-F3826E402611-10">
      <extobjdata type="2384804F-3998-4D57-9195-F3826E402611" data="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"/>
    </extobj>
    <extobj name="2384804F-3998-4D57-9195-F3826E402611-7">
      <extobjdata type="2384804F-3998-4D57-9195-F3826E402611" data="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"/>
    </extobj>
    <extobj name="2384804F-3998-4D57-9195-F3826E402611-8">
      <extobjdata type="2384804F-3998-4D57-9195-F3826E402611" data="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4953BD-B001-433D-BAEA-84E6680CEBE7}">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5</Pages>
  <Words>2275</Words>
  <Characters>12969</Characters>
  <Lines>108</Lines>
  <Paragraphs>30</Paragraphs>
  <TotalTime>49</TotalTime>
  <ScaleCrop>false</ScaleCrop>
  <LinksUpToDate>false</LinksUpToDate>
  <CharactersWithSpaces>15214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2024-07-16T13:39:00Z</dcterms:created>
  <dc:creator>IEEE</dc:creator>
  <cp:lastModifiedBy>Bomin Zhang</cp:lastModifiedBy>
  <cp:lastPrinted>2024-12-15T06:39:38Z</cp:lastPrinted>
  <dcterms:modified xsi:type="dcterms:W3CDTF">2024-12-15T06:40:35Z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FEDC70DA739B4F4088036993635B0B91_13</vt:lpwstr>
  </property>
</Properties>
</file>