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line="360"/>
      </w:pPr>
      <w:r>
        <w:rPr>
          <w:rFonts w:ascii="Times New Roman" w:cs="Times New Roman" w:eastAsia="Times New Roman" w:hAnsi="Times New Roman"/>
          <w:b/>
          <w:bCs/>
          <w:sz w:val="32"/>
          <w:szCs w:val="32"/>
        </w:rPr>
        <w:t xml:space="preserve">Meteolink expliqué à un étudiant</w:t>
      </w:r>
    </w:p>
    <w:p>
      <w:pPr>
        <w:spacing w:after="120" w:line="360"/>
        <w:jc w:val="both"/>
      </w:pPr>
      <w:r>
        <w:rPr>
          <w:rFonts w:ascii="Times New Roman" w:cs="Times New Roman" w:eastAsia="Times New Roman" w:hAnsi="Times New Roman"/>
          <w:b w:val="false"/>
          <w:bCs w:val="false"/>
          <w:i w:val="false"/>
          <w:iCs w:val="false"/>
          <w:sz w:val="24"/>
          <w:szCs w:val="24"/>
        </w:rPr>
        <w:t xml:space="preserve">Ce document présente le mémoire de bout en bout, sans prérequis en réseaux. Il se lit en une soirée pour les six premiers chapitres ; les deux derniers servent de préparation directe à la soutenance. Chaque chapitre suit le même principe : partir d'une image familière, en tirer l'idée technique, puis retenir ce qu'il faut pouvoir dire au jury.</w:t>
      </w:r>
    </w:p>
    <w:p>
      <w:pPr>
        <w:spacing w:after="200" w:before="360" w:line="360"/>
      </w:pPr>
      <w:r>
        <w:rPr>
          <w:rFonts w:ascii="Times New Roman" w:cs="Times New Roman" w:eastAsia="Times New Roman" w:hAnsi="Times New Roman"/>
          <w:b/>
          <w:bCs/>
          <w:sz w:val="32"/>
          <w:szCs w:val="32"/>
        </w:rPr>
        <w:t xml:space="preserve">Chapitre 1 : Météo Madagascar et ses liens</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Météo Madagascar, officiellement la Direction générale de la météorologie, a pour mission d'observer le temps, de prévoir et de diffuser des informations qui protègent la population. Cette mission repose sur des systèmes d'information : des stations automatiques envoient leurs relevés, des tableaux de bord consultés par les départements, des modèles numériques et des images satellite à télécharger.</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Toutes ces activités passent par des liens d'accès à Internet très inégaux. Le siège à Antananarivo dispose d'une connexion en fibre optique, rapide et stable. Les directions régionales travaillent souvent en 4G, chez l'opérateur Yas, l'ancien Telma. Les stations les plus isolées dépendent encore du satellite géostationnaire, appelé VSAT, lent et coûteux. Une alternative récente, Starlink, arrive sur le marché malgache avec un satellite en orbite basse : plus rapide que le VSAT, avec une facture mensuelle d'environ 226 000 ariary d'après la presse de 2025.</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contrainte la plus forte n'est pas technique mais économique. La connexion y est vendue par paquets prépayés : 25 000 ariary achètent 4,5 gigaoctets pour un mois chez Yas. Chaque octet gaspillé, par exemple lors de retransmissions dues à la congestion, représente de l'argent perdu. En octobre 2025, l'autorité de régulation ARTEC a d'ailleurs convoqué les trois opérateurs à la suite de plaintes sur le prix de la donnée. Ce contexte donne au mémoire son enjeu réel : mesurer ce qui se passe sur ces liens, comparer les remèdes possibles, et chiffrer le gaspillage en ariary.</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ce contexte compte autant ? Parce que le jury attend un mémoire ancré dans une situation d'entreprise réelle, pas un exercice de laboratoire. La réponse : la DSI de Météo Madagascar doit décider comment configurer ses équipements avec un budget de données limité ; ce mémoire lui donne des mesures et une recommandation.</w:t>
      </w:r>
    </w:p>
    <w:p>
      <w:pPr>
        <w:spacing w:after="200" w:before="360" w:line="360"/>
      </w:pPr>
      <w:r>
        <w:rPr>
          <w:rFonts w:ascii="Times New Roman" w:cs="Times New Roman" w:eastAsia="Times New Roman" w:hAnsi="Times New Roman"/>
          <w:b/>
          <w:bCs/>
          <w:sz w:val="32"/>
          <w:szCs w:val="32"/>
        </w:rPr>
        <w:t xml:space="preserve">Chapitre 2 : Le problème : le péage embouteillé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Imaginons une autoroute avec un seul péage. Tant que le trafic est léger, chaque voiture passe vite. Quand un convoi de camions arrive, la file d'attente s'allonge devant le péage ; une petite voiture qui arrive derrière attend autant que les camions, même si elle seule mettrait une seconde à passer. C'est exactement ce qui se produit sur un lien Internet chargé : le transfert d'un gros fichier joue les camions, et les petits messages urgents attendent derrière eux.</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 phénomène s'appelle le bufferbloat, littéralement la « boursouflure de la mémoire tampon ». Les équipements réseau disposent de tampons, des zones d'attente pour les paquets de données. Tant que ces zones sont dimensionnées trop grand, elles se remplissent sous charge et chaque échange, même minuscule, subit l'attente de toute la file. Une requête de télémétrie qui prend normalement 100 millisecondes peut en mettre 300 : le service semble planté alors que le débit, lui, reste correct.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C'est là l'idée centrale du mémoire : le débit seul ne dit rien de la qualité d'un lien pour le travail opérationnel. Ce qui compte, c'est la latence, c'à-dire le temps de réponse, pendant les périodes de charge. Météo Madagascar a besoin que ses alertes et ses tableaux de bord restent vifs pendant qu'une image satellite se télécharge sur le même lien.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pourquoi on parle de bufferbloat plutôt que de simple lenteur. Réponse : la lenteur constante vient du débit ; le bufferbloat est une dégradation de la latence qui apparaît sous charge, avec un débit intact. Les distinguer est précisément l'objet de la mesure.</w:t>
      </w:r>
    </w:p>
    <w:p>
      <w:pPr>
        <w:spacing w:after="200" w:before="360" w:line="360"/>
      </w:pPr>
      <w:r>
        <w:rPr>
          <w:rFonts w:ascii="Times New Roman" w:cs="Times New Roman" w:eastAsia="Times New Roman" w:hAnsi="Times New Roman"/>
          <w:b/>
          <w:bCs/>
          <w:sz w:val="32"/>
          <w:szCs w:val="32"/>
        </w:rPr>
        <w:t xml:space="preserve">Chapitre 3 : Les remèdes connus : la discipline de file et BBR</w:t>
      </w:r>
    </w:p>
    <w:p>
      <w:pPr>
        <w:spacing w:after="140" w:before="240" w:line="360"/>
      </w:pPr>
      <w:r>
        <w:rPr>
          <w:rFonts w:ascii="Times New Roman" w:cs="Times New Roman" w:eastAsia="Times New Roman" w:hAnsi="Times New Roman"/>
          <w:b/>
          <w:bCs/>
          <w:sz w:val="26"/>
          <w:szCs w:val="26"/>
        </w:rPr>
        <w:t xml:space="preserve">Trois façons de gérer la file d'attente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discipline de file, en anglais queueing discipline, est la règle que l'équipement applique à sa file d'attente. Linux en propose trois principales, testées dans le mémoire. pfifo_fast, la plus simple, laisse entrer les paquets dans l'ordre d'arrivée : c'est le péage sans agent, témoin de référence du bufferbloat. fq_codel et CAKE sont des disciplines actives, de la famille AQM pour gestion active de file : elles surveillent l'attente et jettent ou marquent quelques paquets à l'avance pour forcer les émetteurs à ralentir, ce qui maintient la file courte. CAKE, décrit dans la demande de commentaires numéro 8290, est la plus complète des trois : elle combine cette régulation avec un plafond de débit et un traitement équitable par flux.</w:t>
      </w:r>
    </w:p>
    <w:p>
      <w:pPr>
        <w:spacing w:after="140" w:before="240" w:line="360"/>
      </w:pPr>
      <w:r>
        <w:rPr>
          <w:rFonts w:ascii="Times New Roman" w:cs="Times New Roman" w:eastAsia="Times New Roman" w:hAnsi="Times New Roman"/>
          <w:b/>
          <w:bCs/>
          <w:sz w:val="26"/>
          <w:szCs w:val="26"/>
        </w:rPr>
        <w:t xml:space="preserve">Deux façons d'émettre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second levier est le contrôle de congestion, la règle que suit l'émetteur pour adapter sa vitesse. CUBIC, présent par défaut dans Linux, détecte les pertes de paquets et en déduit la capacité : il remplit donc les files et apprend en cassant. BBR, mis au point par Google, mesure le débit disponible et l'aller-retour minimal, puis ajuste son rythme pour tenir la file du réseau courte sans la remplir. Ces deux comportements interagissent avec la discipline de file : la question du mémoire est de savoir quelles combinaisons protègent le mieux le petit trafic de Météo Madagascar.</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Pourquoi tester les deux leviers ensemble ? Parce qu'un opérateur ne choisit quasiment jamais la discipline de file des serveurs distants, mais il contrôle son routeur de site et parfois les émetteurs. Il faut donc connaître l'effet de chaque combinaison pour recommander ce qui dépend de lui.</w:t>
      </w:r>
    </w:p>
    <w:p>
      <w:pPr>
        <w:spacing w:after="200" w:before="360" w:line="360"/>
      </w:pPr>
      <w:r>
        <w:rPr>
          <w:rFonts w:ascii="Times New Roman" w:cs="Times New Roman" w:eastAsia="Times New Roman" w:hAnsi="Times New Roman"/>
          <w:b/>
          <w:bCs/>
          <w:sz w:val="32"/>
          <w:szCs w:val="32"/>
        </w:rPr>
        <w:t xml:space="preserve">Chapitre 4 : Le banc d'essai installé sur le poste client</w:t>
      </w:r>
    </w:p>
    <w:p>
      <w:pPr>
        <w:spacing w:after="140" w:before="240" w:line="360"/>
      </w:pPr>
      <w:r>
        <w:rPr>
          <w:rFonts w:ascii="Times New Roman" w:cs="Times New Roman" w:eastAsia="Times New Roman" w:hAnsi="Times New Roman"/>
          <w:b/>
          <w:bCs/>
          <w:sz w:val="26"/>
          <w:szCs w:val="26"/>
        </w:rPr>
        <w:t xml:space="preserve">Rejouer le lien sans toucher à l'infrastructure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mémoire n'a pas besoin de s'approprier le réseau de production de l'institution pour conduire ses essais. Le banc s'installe entièrement sur le poste client de l'agent : un programme unique, nommé cgo, crée une paire de liens virtuels, appelés veth, à l'intérieur de la machine. Sur l'un d'eux, l'outil ajoute un dispositif nommé netem, pour émulation réseau, qui impose au trafic le délai, la gigue, c'est-à-dire la variation du délai, et le taux de perte du profil choisi. Par-dessus s'applique la discipline de file testée. L'autre extrémité héberge un petit serveur qui distribue un objet de 16 kilo-octets et reçoit le flux de charge.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poste se fait ainsi croire qu'il parle à un lien 4G ou à un lien satellite, alors que tout reste local. Aucun équipement de Météo Madagascar n'est modifié, aucune donnée de production n'est consommée : c'est la condition pour expérimenter librement.</w:t>
      </w:r>
    </w:p>
    <w:p>
      <w:pPr>
        <w:spacing w:after="140" w:before="240" w:line="360"/>
      </w:pPr>
      <w:r>
        <w:rPr>
          <w:rFonts w:ascii="Times New Roman" w:cs="Times New Roman" w:eastAsia="Times New Roman" w:hAnsi="Times New Roman"/>
          <w:b/>
          <w:bCs/>
          <w:sz w:val="26"/>
          <w:szCs w:val="26"/>
        </w:rPr>
        <w:t xml:space="preserve">Quatre profils de lien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essai rejoue l'un des quatre profils retenus. P1 représente la fibre du siège : 80 mégabits par seconde, 20 millisecondes d'aller-retour, gigue de 2 millisecondes, sans perte. P2 représente la 4G de Yas, le cas d'étude central : 20 mégabits, 100 millisecondes, gigue de 15 millisecondes, 0,5 pour cent de perte. P3 représente le VSAT des stations isolées : 5 mégabits et surtout 600 millisecondes, l'aller-retour imposé par un satellite géostationnaire placé à 36 000 kilomètres, gigue de 30 millisecondes, 1 pour cent de perte. P4, ajouté en fin de travail, représente Starlink : 100 mégabits, 40 millisecondes, gigue de 20 millisecondes et 0,3 pour cent de perte, avec une gigue marquée propre aux relais entre satellites en orbite basse.</w:t>
      </w:r>
    </w:p>
    <w:p>
      <w:pPr>
        <w:spacing w:after="140" w:before="240" w:line="360"/>
      </w:pPr>
      <w:r>
        <w:rPr>
          <w:rFonts w:ascii="Times New Roman" w:cs="Times New Roman" w:eastAsia="Times New Roman" w:hAnsi="Times New Roman"/>
          <w:b/>
          <w:bCs/>
          <w:sz w:val="26"/>
          <w:szCs w:val="26"/>
        </w:rPr>
        <w:t xml:space="preserve">Un protocole fixe et des portes de contrôle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Chaque événement d'essai suit le même déroulement : trente secondes de calme pour mesurer l'état de repos, cent vingt secondes de charge pendant lesquelles un flux massif sature le lien, puis trente secondes de récupération. Huit portes de qualité, numérotées de zéro à sept, vérifient chaque événement : la cible répond-elle, la charge a-t-elle vraiment démarré, les sondes produisent-elles, la latence est-elle physiquement plausible, le débit cohérent, aucune ligne dupliquée, la mesure de repos stable, la machine pas saturée. Un événement qui échoue une porte majeure est marqué invalid, mis en quarantaine : sa ligne est conservée mais exclue des médianes ; un événement partiellement réussi est marqué degraded et reste exploité. Rien n'est caché, tout est compté.</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demande souvent pourquoi la charge ne dure pas des heures. Réponse honnête : la fenêtre de 120 secondes révèle le régime établi de chaque combinaison ; les effets de saturation prolongée et les profils sur une journée entière restent une perspective, annoncée comme telle.</w:t>
      </w:r>
    </w:p>
    <w:p>
      <w:pPr>
        <w:spacing w:after="200" w:before="360" w:line="360"/>
      </w:pPr>
      <w:r>
        <w:rPr>
          <w:rFonts w:ascii="Times New Roman" w:cs="Times New Roman" w:eastAsia="Times New Roman" w:hAnsi="Times New Roman"/>
          <w:b/>
          <w:bCs/>
          <w:sz w:val="32"/>
          <w:szCs w:val="32"/>
        </w:rPr>
        <w:t xml:space="preserve">Chapitre 5 : Les mesures et ce qu'elles disent</w:t>
      </w:r>
    </w:p>
    <w:p>
      <w:pPr>
        <w:spacing w:after="140" w:before="240" w:line="360"/>
      </w:pPr>
      <w:r>
        <w:rPr>
          <w:rFonts w:ascii="Times New Roman" w:cs="Times New Roman" w:eastAsia="Times New Roman" w:hAnsi="Times New Roman"/>
          <w:b/>
          <w:bCs/>
          <w:sz w:val="26"/>
          <w:szCs w:val="26"/>
        </w:rPr>
        <w:t xml:space="preserve">Six indicateurs, chacun répond à une question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médiane, notée p50, donne le temps de réponse typique ; le quatre-vingt-quinzième centile, noté p95, donne le temps que subissent les cas les plus défavorables, ceux qui décident de la sensation de blocage. L'indicateur deadline mesure la part des petites requêtes arrivées sous l'échéance fixée, par exemple 220 millisecondes : c'est la traduction directe d'un engagement de service. L'écart entre p95 et la médiane, appelé QDI dans le mémoire, renseigne la régularité du lien : un écart faible signifie un lien prévisible. Enfin, deux indicateurs économiques transforment la mesure en langage de direction : le score R de voix, tiré du modèle E de la recommandation G.107 de l'UIT, estime la qualité d'un appel sur le lien observé, et le coût en ariary par heure applique au volume gaspillé les tarifs réels des opérateurs.</w:t>
      </w:r>
    </w:p>
    <w:p>
      <w:pPr>
        <w:spacing w:after="140" w:before="240" w:line="360"/>
      </w:pPr>
      <w:r>
        <w:rPr>
          <w:rFonts w:ascii="Times New Roman" w:cs="Times New Roman" w:eastAsia="Times New Roman" w:hAnsi="Times New Roman"/>
          <w:b/>
          <w:bCs/>
          <w:sz w:val="26"/>
          <w:szCs w:val="26"/>
        </w:rPr>
        <w:t xml:space="preserve">Ce que les essais ont montré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4G, avec une échéance fixée à 220 millisecondes, la file simple laisse 60 pour cent des petites requêtes arriver à l'heure, tandis que les disciplines actives en sauvent environ 96 à 98 pour cent. L'écart de régularité raconte la même histoire : 57 millisecondes d'écart sous pfifo avec BBR, contre environ 13 sous CAKE. Autrement dit, la discipline active tient la file courte et le trafic critique passe pendant le téléchargement massif, au prix de quelques paquets écartés. Le débit utile reste proche de la capacité du profil, ce que traduit l'expression « le débit est préservé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la voix, le score R confirme la hiérarchie : 92,9 sur le profil fibre au repos, 92,1 sur Starlink, 91,4 sur le cellulaire, 71,5 sur le VSAT. Le coût, calculé au palier choisi (six forfaits réels, défaut mensuel de 4,5 gigaoctets), rend le gaspillage sensible : quelques centaines d'ariary par heure de charge sur un lien 4G, la fibre étant dix fois moins chère au gigaoctet.</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D'où sortent ces chiffres ? De plusieurs centaines d'événements gelés dans des fichiers CSV, chaque ligne vérifiable par une empreinte SHA-256. Le jury peut refaire le calcul : c'est l'objet du chapitre suivant.</w:t>
      </w:r>
    </w:p>
    <w:p>
      <w:pPr>
        <w:spacing w:after="200" w:before="360" w:line="360"/>
      </w:pPr>
      <w:r>
        <w:rPr>
          <w:rFonts w:ascii="Times New Roman" w:cs="Times New Roman" w:eastAsia="Times New Roman" w:hAnsi="Times New Roman"/>
          <w:b/>
          <w:bCs/>
          <w:sz w:val="32"/>
          <w:szCs w:val="32"/>
        </w:rPr>
        <w:t xml:space="preserve">Chapitre 6 : La preuve vérifiable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 résultat de mesure ne vaut que si d'autres peuvent le contrôler. Chaque campagne d'essais écrit ses lignes dans un fichier CSV, un tableau de valeurs à colonnes fixes, puis fige le tout : le fichier ne bouge plus, et un manifeste enregistre l'empreinte cryptographique SHA-256 de chaque fichier, c'est-à-dire une somme unique qui change au moindre octet modifié. Une commande, cgo verify, recalcule ces sommes et signale toute divergence. Les figures du mémoire sont régénérées uniquement depuis ces fichiers gelés : aucune valeur n'est saisie à la main.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Cette chaîne répond à la question la plus redoutable d'une soutenance : qui peut vérifier ? Tout lecteur disposant du dépôt peut relancer la vérification et refaire les graphiques. Les événements mis en quarantaine ne disparaissent pas : ils restent dans le journal, comptés, avec la raison de leur exclusion.</w:t>
      </w:r>
    </w:p>
    <w:p>
      <w:pPr>
        <w:pBdr>
          <w:top w:val="single" w:color="808080" w:sz="4"/>
        </w:pBdr>
        <w:spacing w:after="40" w:before="120" w:line="360"/>
      </w:pPr>
      <w:r>
        <w:rPr>
          <w:rFonts w:ascii="Times New Roman" w:cs="Times New Roman" w:eastAsia="Times New Roman" w:hAnsi="Times New Roman"/>
          <w:b/>
          <w:bCs/>
          <w:i/>
          <w:iCs/>
          <w:sz w:val="24"/>
          <w:szCs w:val="24"/>
        </w:rPr>
        <w:t xml:space="preserve">Si le jury demande :</w:t>
      </w:r>
    </w:p>
    <w:p>
      <w:pPr>
        <w:pBdr>
          <w:bottom w:val="single" w:color="808080" w:sz="4"/>
        </w:pBdr>
        <w:spacing w:after="120" w:line="360"/>
      </w:pPr>
      <w:r>
        <w:rPr>
          <w:rFonts w:ascii="Times New Roman" w:cs="Times New Roman" w:eastAsia="Times New Roman" w:hAnsi="Times New Roman"/>
          <w:i/>
          <w:iCs/>
          <w:sz w:val="24"/>
          <w:szCs w:val="24"/>
        </w:rPr>
        <w:t xml:space="preserve">Le jury peut demander si le banc fausse les résultats par rapport au réseau réel. Réponse : le banc ne remplace pas la mesure de production ; il garantit la reproductibilité des comparaisons entre disciplines, toutes soumises aux mêmes conditions. La mesure du lien réel existe par ailleurs comme méthode, l'audit, applicable depuis n'importe quel poste.</w:t>
      </w:r>
    </w:p>
    <w:p>
      <w:pPr>
        <w:spacing w:after="200" w:before="360" w:line="360"/>
      </w:pPr>
      <w:r>
        <w:rPr>
          <w:rFonts w:ascii="Times New Roman" w:cs="Times New Roman" w:eastAsia="Times New Roman" w:hAnsi="Times New Roman"/>
          <w:b/>
          <w:bCs/>
          <w:sz w:val="32"/>
          <w:szCs w:val="32"/>
        </w:rPr>
        <w:t xml:space="preserve">Chapitre 7 : Raconter cela au jury</w:t>
      </w:r>
    </w:p>
    <w:p>
      <w:pPr>
        <w:spacing w:after="140" w:before="240" w:line="360"/>
      </w:pPr>
      <w:r>
        <w:rPr>
          <w:rFonts w:ascii="Times New Roman" w:cs="Times New Roman" w:eastAsia="Times New Roman" w:hAnsi="Times New Roman"/>
          <w:b/>
          <w:bCs/>
          <w:sz w:val="26"/>
          <w:szCs w:val="26"/>
        </w:rPr>
        <w:t xml:space="preserve">Les phrases qui structurent l'exposé</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L'ouverture, à connaître par cœur : « Météo Madagascar conduit sa mission sur des liens d'accès inégaux et prépayés. Ce mémoire mesure ce que la charge fait au trafic critique sur ces liens, compare les remèdes disponibles, et chiffre le gaspillage en ariary. » La fermeture : « Les disciplines actives de file protègent le trafic critique à coût maîtrisé ; la preuve est gelée et vérifiable. » Entre les deux, chaque diapositive porte un titre qui énonce sa conclusion, jamais son sujet : « 60 pour cent contre 98 pour cent » vaut mieux que « résultats de l'essai numéro un ».</w:t>
      </w:r>
    </w:p>
    <w:p>
      <w:pPr>
        <w:spacing w:after="140" w:before="240" w:line="360"/>
      </w:pPr>
      <w:r>
        <w:rPr>
          <w:rFonts w:ascii="Times New Roman" w:cs="Times New Roman" w:eastAsia="Times New Roman" w:hAnsi="Times New Roman"/>
          <w:b/>
          <w:bCs/>
          <w:sz w:val="26"/>
          <w:szCs w:val="26"/>
        </w:rPr>
        <w:t xml:space="preserve">Les règles de prise de parole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Trente à cinquante mots par diapositive, pas davantage : le détail se dit à l'oral. Regarder chaque membre du jury, notes autorisées trois secondes au plus. Remplir à peine 80 pour cent du temps imparti, car le stress accélère. Remercier le jury à la fin, brièvement, jamais à l'ouverture. Si une question reste sans réponse : l'admettre et proposer une piste raisonnée ; avouer une limite vaut infiniment mieux qu'inventer.</w:t>
      </w:r>
    </w:p>
    <w:p>
      <w:pPr>
        <w:spacing w:after="140" w:before="240" w:line="360"/>
      </w:pPr>
      <w:r>
        <w:rPr>
          <w:rFonts w:ascii="Times New Roman" w:cs="Times New Roman" w:eastAsia="Times New Roman" w:hAnsi="Times New Roman"/>
          <w:b/>
          <w:bCs/>
          <w:sz w:val="26"/>
          <w:szCs w:val="26"/>
        </w:rPr>
        <w:t xml:space="preserve">Trois diapositives à sacrifier si le temps manque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diapositives sur la régularité, sur la voix et sur Starlink peuvent être sautées sans casser le fil : le résultat central et la recommandation suffisent. Elles restent en réserve, dans la série de secours, si une question les réclame.</w:t>
      </w:r>
    </w:p>
    <w:p>
      <w:pPr>
        <w:spacing w:after="200" w:before="360" w:line="360"/>
      </w:pPr>
      <w:r>
        <w:rPr>
          <w:rFonts w:ascii="Times New Roman" w:cs="Times New Roman" w:eastAsia="Times New Roman" w:hAnsi="Times New Roman"/>
          <w:b/>
          <w:bCs/>
          <w:sz w:val="32"/>
          <w:szCs w:val="32"/>
        </w:rPr>
        <w:t xml:space="preserve">Chapitre 8 : Le kit anti-questions, armé</w:t>
      </w:r>
    </w:p>
    <w:p>
      <w:pPr>
        <w:spacing w:after="120" w:line="360"/>
        <w:jc w:val="both"/>
      </w:pPr>
      <w:r>
        <w:rPr>
          <w:rFonts w:ascii="Times New Roman" w:cs="Times New Roman" w:eastAsia="Times New Roman" w:hAnsi="Times New Roman"/>
          <w:b w:val="false"/>
          <w:bCs w:val="false"/>
          <w:i w:val="false"/>
          <w:iCs w:val="false"/>
          <w:sz w:val="24"/>
          <w:szCs w:val="24"/>
        </w:rPr>
        <w:t xml:space="preserve">Comment utiliser ce kit : les questions suivent un ordre progressif, du plus simple au plus profond — ce qu'est le projet, à quoi il sert, ce qu'il prouve, comment il mesure, puis les classiques du jury. Chaque réponse suit le même squelette en quatre temps. Nommer la limite sans l'adoucir. Borner : ce qu'elle affecte, ce qu'elle n'affecte pas. Mitiger : ce qui est fait malgré elle. Refermer : la portée exacte de l'affirmation. Chaque réponse tient en moins d'une minute et porte au moins un chiffre exact des archives.</w:t>
      </w:r>
    </w:p>
    <w:p>
      <w:pPr>
        <w:spacing w:after="140" w:before="240" w:line="360"/>
      </w:pPr>
      <w:r>
        <w:rPr>
          <w:rFonts w:ascii="Times New Roman" w:cs="Times New Roman" w:eastAsia="Times New Roman" w:hAnsi="Times New Roman"/>
          <w:b/>
          <w:bCs/>
          <w:sz w:val="26"/>
          <w:szCs w:val="26"/>
        </w:rPr>
        <w:t xml:space="preserve">Les quatre façons de perdre la soutenance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Se braquer : le jury pousse une limite pour tester le calme, pas pour humilier ; deux secondes de silence, puis la réponse structurée. S'excuser : « j'aurais dû, je n'ai pas pu » transforme une limite bornée en confession ; une limite est une information de portée, pas un regret. Inventer : un bluff se détecte en une relance et détruit la crédibilité de toutes les réponses précédentes. Tout concéder : si le jury pousse jusqu'à « donc vous ne pouvez rien affirmer ? », la bonne réponse tient le cap : la limite réduit la portée, pas la conclusion.</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règle transversale : ne jamais présenter une contrainte comme une vertu méthodologique qu'elle n'était pas. Et citer la page exacte du mémoire quand on annonce une limite : cela change tout.</w:t>
      </w:r>
    </w:p>
    <w:p>
      <w:pPr>
        <w:spacing w:after="140" w:before="240" w:line="360"/>
      </w:pPr>
      <w:r>
        <w:rPr>
          <w:rFonts w:ascii="Times New Roman" w:cs="Times New Roman" w:eastAsia="Times New Roman" w:hAnsi="Times New Roman"/>
          <w:b/>
          <w:bCs/>
          <w:sz w:val="26"/>
          <w:szCs w:val="26"/>
        </w:rPr>
        <w:t xml:space="preserve">C'est quoi, ce projet, au juste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 instrument qui répond à une question simple : quand un gros téléchargement sature notre lien, nos petites requêtes urgentes attendent-elles derrière lui, et que faut-il régler pour qu'elles passent ? L'instrument mesure, compare les réglages possibles à conditions identiques, et archive chaque mesure avec une preuve qu'on peut revérifier. Deux moitiés : un audit, qui mesure un lien réel sans rien y toucher ; un banc, qui rejoue quatre types de liens et teste trois disciplines de file contre deux émetteurs. Le tout tient dans un seul fichier, sans installation.</w:t>
      </w:r>
    </w:p>
    <w:p>
      <w:pPr>
        <w:spacing w:after="140" w:before="240" w:line="360"/>
      </w:pPr>
      <w:r>
        <w:rPr>
          <w:rFonts w:ascii="Times New Roman" w:cs="Times New Roman" w:eastAsia="Times New Roman" w:hAnsi="Times New Roman"/>
          <w:b/>
          <w:bCs/>
          <w:sz w:val="26"/>
          <w:szCs w:val="26"/>
        </w:rPr>
        <w:t xml:space="preserve">Rappelle-moi ta méthodologie, simplement.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Trois gestes, toujours dans cet ordre. D'abord auditer : mesurer le lien réel, au repos puis sous une courte charge, pour savoir ce que subissent les utilisateurs aujourd'hui. Ensuite comparer : rejouer ce lien sur le banc et tester chaque réglage aux mêmes conditions, avec huit contrôles automatiques qui rejettent toute mesure douteuse. Enfin prescrire : transformer l'écart mesuré en une ligne de configuration, l'appliquer, et re-mesurer pour vérifier. Mesurer, comparer, appliquer, re-mesurer : si une étape manque, on ne recommande rien.</w:t>
      </w:r>
    </w:p>
    <w:p>
      <w:pPr>
        <w:spacing w:after="140" w:before="240" w:line="360"/>
      </w:pPr>
      <w:r>
        <w:rPr>
          <w:rFonts w:ascii="Times New Roman" w:cs="Times New Roman" w:eastAsia="Times New Roman" w:hAnsi="Times New Roman"/>
          <w:b/>
          <w:bCs/>
          <w:sz w:val="26"/>
          <w:szCs w:val="26"/>
        </w:rPr>
        <w:t xml:space="preserve">Pourquoi ces métriques-là, et pas d'autres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Chacune répond à une question de quelqu'un. La médiane et le p95 : ce que vivent les requêtes, typiques et malchanceuses — la moyenne noierait les secondes qui comptent. Le respect d'échéance : la langue de l'exploitation, un engagement vérifiable plutôt qu'une statistique. Le QDI : la régularité, sans laquelle aucune alerte automatique n'est possible. Le score de voix : ce qu'entendrait un appel sur ce lien. Le coût en ariary : ce que paie la direction, au palier réellement souscrit. Six métriques, six lecteurs : le technicien, l'exploitant, le superviseur, l'usager voix, le financier. Aucune n'est décorative.</w:t>
      </w:r>
    </w:p>
    <w:p>
      <w:pPr>
        <w:spacing w:after="140" w:before="240" w:line="360"/>
      </w:pPr>
      <w:r>
        <w:rPr>
          <w:rFonts w:ascii="Times New Roman" w:cs="Times New Roman" w:eastAsia="Times New Roman" w:hAnsi="Times New Roman"/>
          <w:b/>
          <w:bCs/>
          <w:sz w:val="26"/>
          <w:szCs w:val="26"/>
        </w:rPr>
        <w:t xml:space="preserve">Quelle est ta problématique exacte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À conditions de lien identiques, comment le choix de la discipline de file affecte-t-il la latence des petites requêtes, et ce effet dépend-il de l'émetteur ? Puis : l'avantage tient-il sur les liens dégradés, et quel levier concret recommander, avec quelle confiance mesurée ? Quatre questions, QR1 à QR4, une seule phrase chacune, et chaque chapitre du mémoire répond à l'une d'elles. Si le jury ne retient qu'une phrase : peut-on protéger le trafic critique sans perdre de débit, et à quel prix en ariary.</w:t>
      </w:r>
    </w:p>
    <w:p>
      <w:pPr>
        <w:spacing w:after="140" w:before="240" w:line="360"/>
      </w:pPr>
      <w:r>
        <w:rPr>
          <w:rFonts w:ascii="Times New Roman" w:cs="Times New Roman" w:eastAsia="Times New Roman" w:hAnsi="Times New Roman"/>
          <w:b/>
          <w:bCs/>
          <w:sz w:val="26"/>
          <w:szCs w:val="26"/>
        </w:rPr>
        <w:t xml:space="preserve">Quelle est ta contribution originale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Pas une théorie : une preuve locale qui n'existait nulle part. Personne n'avait mesuré, sur des profils représentatifs des liens malgaches prépayés, ce que la charge fait au trafic critique, ni converti ce gaspillage en ariary au palier réel. L'apport tient en trois objets : le premier jeu de mesures comparatives du domaine sur ce terrain, la métrique budgétaire qui parle à la direction, et l'instrument reproductible qui permet à l'institution de refaire la mesure sans l'auteur. Un master n'a pas à révolutionner son champ : il doit produire un fait neuf, vérifiable, utile.</w:t>
      </w:r>
    </w:p>
    <w:p>
      <w:pPr>
        <w:spacing w:after="140" w:before="240" w:line="360"/>
      </w:pPr>
      <w:r>
        <w:rPr>
          <w:rFonts w:ascii="Times New Roman" w:cs="Times New Roman" w:eastAsia="Times New Roman" w:hAnsi="Times New Roman"/>
          <w:b/>
          <w:bCs/>
          <w:sz w:val="26"/>
          <w:szCs w:val="26"/>
        </w:rPr>
        <w:t xml:space="preserve">À quoi ça sert, dans l'entreprise ? Qu'est-ce que ça apporte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À décider sans deviner. Aujourd'hui, configurer un routeur de site, c'est appliquer une recette trouvée en ligne et espérer. Avec cet instrument, la direction sait, pour chaque classe de lien, quel réglage protège les alertes et combien coûte le gaspillage évité — en ariary, au forfait souscrit. Ce que ça apporte : des décisions de configuration justifiées par des mesures locales au lieu d'intuitions, un chiffrage budgétaire du gaspillage, et une sentinelle qui surveille les liens après configuration. Le mémoire ne vend pas un réglage ; il vend la fin des réglages à l'aveugle.</w:t>
      </w:r>
    </w:p>
    <w:p>
      <w:pPr>
        <w:spacing w:after="140" w:before="240" w:line="360"/>
      </w:pPr>
      <w:r>
        <w:rPr>
          <w:rFonts w:ascii="Times New Roman" w:cs="Times New Roman" w:eastAsia="Times New Roman" w:hAnsi="Times New Roman"/>
          <w:b/>
          <w:bCs/>
          <w:sz w:val="26"/>
          <w:szCs w:val="26"/>
        </w:rPr>
        <w:t xml:space="preserve">Concrètement, comment les gens vont l'utiliser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Trois usages, trois personnes. Le technicien du site cellulaire le plus chargé lance un audit de trente secondes, lit la note de santé du lien, applique la ligne de configuration prescrite pendant une fenêtre de maintenance, et re-mesure : avant, après, écart, verdict. L'agent régional sans navigateur pilote tout depuis le terminal, mêmes valeurs, mêmes commandes. La direction reçoit le constat signé, deux pages, avec l'empreinte de preuve : elle approuve une dépense ou un changement en lisant un écart mesuré, pas une promesse. Aucun usage n'exige de comprendre le banc : l'outil demande le lien, rend un verdict.</w:t>
      </w:r>
    </w:p>
    <w:p>
      <w:pPr>
        <w:spacing w:after="140" w:before="240" w:line="360"/>
      </w:pPr>
      <w:r>
        <w:rPr>
          <w:rFonts w:ascii="Times New Roman" w:cs="Times New Roman" w:eastAsia="Times New Roman" w:hAnsi="Times New Roman"/>
          <w:b/>
          <w:bCs/>
          <w:sz w:val="26"/>
          <w:szCs w:val="26"/>
        </w:rPr>
        <w:t xml:space="preserve">Ton projet est-il réel, ou juste une maquette de recherche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Réel, et démontrable de quatre façons qui ne sont pas le hash. Un : l'audit tourne sur n'importe quel lien réel depuis n'importe quel poste, sans droits admin — le jury peut le lancer sur son propre téléphone partagé en cinq minutes. Deux : le banc rejoue un run gelé et réaffiche les mêmes chiffres, preuve que la mesure n'est pas un coup de chance. Trois : chaque figure du mémoire se régénère depuis les archives en une commande, sans toucher un chiffre à la main. Quatre : la recette tc exportée s'applique sur un routeur Linux et la re-mesure montre l'écart. Le hash ne prouve que l'intégrité des fichiers ; la réalité du projet se prouve en le faisant tourner devant le jury.</w:t>
      </w:r>
    </w:p>
    <w:p>
      <w:pPr>
        <w:spacing w:after="140" w:before="240" w:line="360"/>
      </w:pPr>
      <w:r>
        <w:rPr>
          <w:rFonts w:ascii="Times New Roman" w:cs="Times New Roman" w:eastAsia="Times New Roman" w:hAnsi="Times New Roman"/>
          <w:b/>
          <w:bCs/>
          <w:sz w:val="26"/>
          <w:szCs w:val="26"/>
        </w:rPr>
        <w:t xml:space="preserve">Pourquoi pas pfSense ou OPNsense, qui savent déjà façonner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Bonne objection, mauvaise opposition : pfSense exécute, cet instrument prouve quoi exécuter. Un pare-feu avec limiteur sait appliquer une file, mais il ne dit pas laquelle protège les alertes sur un lien 4G à 0,5 % de perte, ne compare pas les réglages à conditions identiques, n'archive pas de preuve rejouable et ne chiffre rien en ariary. La réponse honnête au jury : une fois la mesure faite ici, la prescription s'applique très bien sur pfSense, MikroTik ou Linux nu — le mémoire donne même la traduction matérielle. L'instrument n'est pas un concurrent du pare-feu, c'est le laboratoire qui justifie son réglage.</w:t>
      </w:r>
    </w:p>
    <w:p>
      <w:pPr>
        <w:spacing w:after="140" w:before="240" w:line="360"/>
      </w:pPr>
      <w:r>
        <w:rPr>
          <w:rFonts w:ascii="Times New Roman" w:cs="Times New Roman" w:eastAsia="Times New Roman" w:hAnsi="Times New Roman"/>
          <w:b/>
          <w:bCs/>
          <w:sz w:val="26"/>
          <w:szCs w:val="26"/>
        </w:rPr>
        <w:t xml:space="preserve">Tu avais trois questions de recherche : quel est le verdict final du projet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Question un, l'effet de la discipline : prouvé et massif — sur lien cellulaire chargé, la file simple ne sauve qu'à peine trois requêtes critiques sur cinq quand les disciplines actives en sauvent la quasi-totalité, débit préservé. Question deux, l'interaction avec l'émetteur : l'émetteur décide autant que la file — BBR remplit la file simple jusqu'au plafond pendant que CUBIC s'effondre sur la perte de base du lien ; il n'y a pas de bon réglage sans choisir les deux leviers ensemble. Question trois, la robustesse : l'avantage tient sur la fibre et l'orbite basse, s'effondre avec le lien sur le satellite géostationnaire où la physique interdit toute fenêtre utile. Verdict opérationnel : discipline active partout sauf là où la physique l'interdit, capacité calée sous la capacité mesurée, et re-mesure après chaque changement.</w:t>
      </w:r>
    </w:p>
    <w:p>
      <w:pPr>
        <w:spacing w:after="140" w:before="240" w:line="360"/>
      </w:pPr>
      <w:r>
        <w:rPr>
          <w:rFonts w:ascii="Times New Roman" w:cs="Times New Roman" w:eastAsia="Times New Roman" w:hAnsi="Times New Roman"/>
          <w:b/>
          <w:bCs/>
          <w:sz w:val="26"/>
          <w:szCs w:val="26"/>
        </w:rPr>
        <w:t xml:space="preserve">D'où viennent vos données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Suivez un chiffre de ce tableau : décrivez exactement comment il a été produit, de la commande au fichier. » Le pipeline en quatre étapes : la sonde mesure pendant l'événement de trois minutes ; l'événement franchit les huit portes ; la ligne est écrite dans le CSV du run ; le manifeste du run enregistre l'empreinte SHA-256 du fichier. Exemple : le 60,2 % de la file simple sous BBR, run 1788191429, événement 2, ligne visible dans l'archive, empreinte vérifiable par cgo verify. Le jury peut suivre ce chemin-là, chiffre par chiffre.</w:t>
      </w:r>
    </w:p>
    <w:p>
      <w:pPr>
        <w:spacing w:after="140" w:before="240" w:line="360"/>
      </w:pPr>
      <w:r>
        <w:rPr>
          <w:rFonts w:ascii="Times New Roman" w:cs="Times New Roman" w:eastAsia="Times New Roman" w:hAnsi="Times New Roman"/>
          <w:b/>
          <w:bCs/>
          <w:sz w:val="26"/>
          <w:szCs w:val="26"/>
        </w:rPr>
        <w:t xml:space="preserve">Vos archives sont « gelées » : que prouve le hash exactement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L'empreinte prouve l'intégrité : le fichier n'a pas changé depuis le gel, toute modification d'un octet serait détectée. Elle ne prouve pas la validité de la mesure : c'est le rôle des huit portes. Les deux garanties sont complémentaires et se répondent dans cet ordre quand on les confond.</w:t>
      </w:r>
    </w:p>
    <w:p>
      <w:pPr>
        <w:spacing w:after="140" w:before="240" w:line="360"/>
      </w:pPr>
      <w:r>
        <w:rPr>
          <w:rFonts w:ascii="Times New Roman" w:cs="Times New Roman" w:eastAsia="Times New Roman" w:hAnsi="Times New Roman"/>
          <w:b/>
          <w:bCs/>
          <w:sz w:val="26"/>
          <w:szCs w:val="26"/>
        </w:rPr>
        <w:t xml:space="preserve">Qui a exécuté les campagnes, sur quelle machine, quand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153 runs sont horodatés par leur identifiant même : run-1788191429 commence par un horodatage Unix. La machine du banc : serveur physique hébergé à Météo Madagascar, sous Ubuntu Server, et chaque événement porte sa colonne d'utilisation processeur, zéro pour cent sur les six événements du run final : la machine n'a pas influé. Réinstaller le banc et relancer la même campagne redonnerait des conditions identiques, c'est l'objet du banc.</w:t>
      </w:r>
    </w:p>
    <w:p>
      <w:pPr>
        <w:spacing w:after="140" w:before="240" w:line="360"/>
      </w:pPr>
      <w:r>
        <w:rPr>
          <w:rFonts w:ascii="Times New Roman" w:cs="Times New Roman" w:eastAsia="Times New Roman" w:hAnsi="Times New Roman"/>
          <w:b/>
          <w:bCs/>
          <w:sz w:val="26"/>
          <w:szCs w:val="26"/>
        </w:rPr>
        <w:t xml:space="preserve">214 quarantaines pour 136 valides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ratio assume un choix : des portes larges auraient rempli les archives et affaibli les conclusions. Ce qui est en quarantaine : surtout les vagues de mise au point, où chaque durcissement d'une porte rejetait en bloc les événements antérieurs, et les cellules dont le régime de charge ne s'établissait pas. Ce que ça n'affecte pas : les 136 lignes valides, dont chacune a passé les huit contrôles. Le compte est publié, la quarantaine est conservée à côté des valides, et le lecteur peut reconstituer le filtre.</w:t>
      </w:r>
    </w:p>
    <w:p>
      <w:pPr>
        <w:spacing w:after="140" w:before="240" w:line="360"/>
      </w:pPr>
      <w:r>
        <w:rPr>
          <w:rFonts w:ascii="Times New Roman" w:cs="Times New Roman" w:eastAsia="Times New Roman" w:hAnsi="Times New Roman"/>
          <w:b/>
          <w:bCs/>
          <w:sz w:val="26"/>
          <w:szCs w:val="26"/>
        </w:rPr>
        <w:t xml:space="preserve">Une répétition par cellule : pourquoi vous croire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D'abord nommer : la campagne finale conduit une répétition par cellule. Borner : n égale un interdit les comparaisons fines entre disciplines voisines ; il n'interdit pas les ordres de grandeur quand l'effet est massif : soixante contre quatre-vingt-dix-huit pour cent d'échéances, ce n'est pas un écart de bruit. Mitiger : les vagues antérieures comptent des répétitions, seize pour la file simple sous BBR sur le profil 4G, douze pour fq_codel, douze pour CAKE, cinquante-cinq pour la cellule CUBIC de la fibre, et la fenêtre de charge elle-même agrège environ cent vingt observations de sondes : le p95 ne repose pas sur un point. Refermer : conclusions exploratoires sur les cellules à événement unique, consolidation par trois répétitions systématiques en premier travail futur.</w:t>
      </w:r>
    </w:p>
    <w:p>
      <w:pPr>
        <w:spacing w:after="140" w:before="240" w:line="360"/>
      </w:pPr>
      <w:r>
        <w:rPr>
          <w:rFonts w:ascii="Times New Roman" w:cs="Times New Roman" w:eastAsia="Times New Roman" w:hAnsi="Times New Roman"/>
          <w:b/>
          <w:bCs/>
          <w:sz w:val="26"/>
          <w:szCs w:val="26"/>
        </w:rPr>
        <w:t xml:space="preserve">Votre banc est émulé, pas le réseau réel : quelle valeur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L'émulation contrôle ce que le terrain ne permet pas : isoler la discipline de file, comparer des configurations à conditions strictement identiques, rejouer. Ce que netem ne capture pas : la couche radio et le multiplexage réel des applications, deux limites nommées dans le mémoire. La revendication exacte : des mécanismes et des ordres de grandeur relatifs, pas des valeurs absolues de site malgache. Et la mesure du réel existe par ailleurs : l'audit, disponible depuis n'importe quel poste autorisé, le déploiement multi-sites étant la première perspective.</w:t>
      </w:r>
    </w:p>
    <w:p>
      <w:pPr>
        <w:spacing w:after="140" w:before="240" w:line="360"/>
      </w:pPr>
      <w:r>
        <w:rPr>
          <w:rFonts w:ascii="Times New Roman" w:cs="Times New Roman" w:eastAsia="Times New Roman" w:hAnsi="Times New Roman"/>
          <w:b/>
          <w:bCs/>
          <w:sz w:val="26"/>
          <w:szCs w:val="26"/>
        </w:rPr>
        <w:t xml:space="preserve">Le VSAT P3 : neuf lignes valides à échéance nulle. Que conclure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L'assumer avant qu'il soit trouvé : neuf lignes valides sur le profil P3, trois par cellule sous BBR, toutes à échéance nulle. Un flux soutenu à cinq mégabits devant six cents millisecondes d'aller-retour ne tient pas la porte du débit cohérent ; les disciplines actives y passent les portes mais n'ouvrent aucune fenêtre de latence utile. Le résultat est double : la stricte application des portes confirme la thèse par la mesure, et la physique du satellite géostationnaire place le plancher de latence hors de portée de toute configuration. Le mémoire le publie tel quel, c'est une borne du dispositif, pas un angle mort.</w:t>
      </w:r>
    </w:p>
    <w:p>
      <w:pPr>
        <w:spacing w:after="140" w:before="240" w:line="360"/>
      </w:pPr>
      <w:r>
        <w:rPr>
          <w:rFonts w:ascii="Times New Roman" w:cs="Times New Roman" w:eastAsia="Times New Roman" w:hAnsi="Times New Roman"/>
          <w:b/>
          <w:bCs/>
          <w:sz w:val="26"/>
          <w:szCs w:val="26"/>
        </w:rPr>
        <w:t xml:space="preserve">Pourquoi pas Flent, l'outil de référence du domaine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Flent mesure la latence sous charge et est l'outil de référence des auteurs du domaine ; le principe de la mesure, ici, vient de la même école, RFC 8290. Le besoin du contexte : Flent suppose des exécutables aux deux extrémités du lien, ce qu'un client institutionnel n'obtient pas de son opérateur ; iperf3 quantifie la capacité mais perd la victime, la latence du trafic concurrent ; les tests grand public perdent tout sauf le chiffre. L'outil du mémoire se place entièrement côté client, ajoute l'échéance, la régularité, le coût en ariary et le gel vérifiable. Flent valide le socle ; cet outil l'étend au cas malgache.</w:t>
      </w:r>
    </w:p>
    <w:p>
      <w:pPr>
        <w:spacing w:after="140" w:before="240" w:line="360"/>
      </w:pPr>
      <w:r>
        <w:rPr>
          <w:rFonts w:ascii="Times New Roman" w:cs="Times New Roman" w:eastAsia="Times New Roman" w:hAnsi="Times New Roman"/>
          <w:b/>
          <w:bCs/>
          <w:sz w:val="26"/>
          <w:szCs w:val="26"/>
        </w:rPr>
        <w:t xml:space="preserve">Pourquoi 120 secondes de charge, et pas 70 comme le standard RRUL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assumées : laisser à CUBIC le temps d'atteindre son régime établi, qui met plusieurs dizaines de secondes à monter sur un lien à cent millisecondes d'aller-retour ; et borner le volume consommé par campagne, ce que le contexte prépayé impose. Le standard de la communauté fait cinq plus soixante plus cinq secondes : la fenêtre retenue couvre le régime établi des deux contrôles testés, et la répétition des événements compense ce qu'elle ne couvre pas des effets prolongés. La saturation d'une journée entière reste une limite nommée. Le sens download se mesure en miroir (shaper côté serveur), et le mode both enchaîne montée puis descente en RRUL séquentiel.</w:t>
      </w:r>
    </w:p>
    <w:p>
      <w:pPr>
        <w:spacing w:after="140" w:before="240" w:line="360"/>
      </w:pPr>
      <w:r>
        <w:rPr>
          <w:rFonts w:ascii="Times New Roman" w:cs="Times New Roman" w:eastAsia="Times New Roman" w:hAnsi="Times New Roman"/>
          <w:b/>
          <w:bCs/>
          <w:sz w:val="26"/>
          <w:szCs w:val="26"/>
        </w:rPr>
        <w:t xml:space="preserve">Votre p95, sans barre d'erreur : 60 et 763 millisecondes, est-ce différent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les cellules à répétitions multiples, l'écart médiane contre p95 des p95 existe et est publié : la cellule CUBIC de la fibre tient une médiane de p95 à soixante millisecondes et un p95 des p95 à sept cent soixante-trois : la dispersion est visible, pas cachée. Sur les cellules à événement unique, n égale un interdit le test de dispersion : c'est la limite nommée, et la première perspective la lève. Ce que l'écart massif soixante contre quatre-vingt-dix-huit pour cent ne risque pas : un chevauchement de bruit.</w:t>
      </w:r>
    </w:p>
    <w:p>
      <w:pPr>
        <w:spacing w:after="140" w:before="240" w:line="360"/>
      </w:pPr>
      <w:r>
        <w:rPr>
          <w:rFonts w:ascii="Times New Roman" w:cs="Times New Roman" w:eastAsia="Times New Roman" w:hAnsi="Times New Roman"/>
          <w:b/>
          <w:bCs/>
          <w:sz w:val="26"/>
          <w:szCs w:val="26"/>
        </w:rPr>
        <w:t xml:space="preserve">Pourquoi p95 plutôt que moyenne, p99 ou maximum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moyenne noie les cas défavorables qui décident de la sensation de blocage. Le maximum capture la requête la plus malheureuse, dominée par les événements ponctuels de la machine hôte. Le p99, sur cent vingt observations, ne reposerait que sur une douzaine de points : trop maigre. Le p95 agrège environ cent vingt observations par fenêtre et capture la queue de distribution qui caractérise la discipline de file.</w:t>
      </w:r>
    </w:p>
    <w:p>
      <w:pPr>
        <w:spacing w:after="140" w:before="240" w:line="360"/>
      </w:pPr>
      <w:r>
        <w:rPr>
          <w:rFonts w:ascii="Times New Roman" w:cs="Times New Roman" w:eastAsia="Times New Roman" w:hAnsi="Times New Roman"/>
          <w:b/>
          <w:bCs/>
          <w:sz w:val="26"/>
          <w:szCs w:val="26"/>
        </w:rPr>
        <w:t xml:space="preserve">Le coût en ariary : facturation ou estimation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Estimation, et le mémoire le dit : le volume gaspillé multiplié par le prix public du gigaoctet des forfaits de 2026, la fenêtre de trois minutes extrapolée à l'heure. Les tarifs viennent des grilles publiques des opérateurs, datées et citées : vingt-cinq mille ariary pour quatre virgule cinq gigaoctets, soit cinq mille cinq cent cinquante-six ariary le gigaoctet au palier mensuel, le journalier étant à mille. Le chiffre sert à comparer des options, pas à prédire une facture. Un test automatisé verrouille le calcul : quatre virgule cinq gigaoctets gaspillés à ce palier font cinq cent mille ariary par heure.</w:t>
      </w:r>
    </w:p>
    <w:p>
      <w:pPr>
        <w:spacing w:after="140" w:before="240" w:line="360"/>
      </w:pPr>
      <w:r>
        <w:rPr>
          <w:rFonts w:ascii="Times New Roman" w:cs="Times New Roman" w:eastAsia="Times New Roman" w:hAnsi="Times New Roman"/>
          <w:b/>
          <w:bCs/>
          <w:sz w:val="26"/>
          <w:szCs w:val="26"/>
        </w:rPr>
        <w:t xml:space="preserve">Une ligne de vos données affiche 18 ms de RTT sur le profil 4G : physiquement impossible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connaître avant le jury : la cellule fq_codel CUBIC du profil 4G, une ligne, affiche un aller-retour p95 à dix-huit millisecondes alors que le profil impose cent. C'est une ligne dégradée, passée dans un agrégat ancien, dont la médiane de cellule ne repose que sur elle : la ligne existe dans l'archive, elle est comptée, et c'est exactement pour cela que les agrégats des vagues anciennes se lisent avec précaution, et que la campagne finale, une répétition par cellule, portes armées, est la référence du mémoire. L'honnêteté de l'archive est de garder la ligne ; celle de l'analyse est de dire laquelle se lit.</w:t>
      </w:r>
    </w:p>
    <w:p>
      <w:pPr>
        <w:spacing w:after="140" w:before="240" w:line="360"/>
      </w:pPr>
      <w:r>
        <w:rPr>
          <w:rFonts w:ascii="Times New Roman" w:cs="Times New Roman" w:eastAsia="Times New Roman" w:hAnsi="Times New Roman"/>
          <w:b/>
          <w:bCs/>
          <w:sz w:val="26"/>
          <w:szCs w:val="26"/>
        </w:rPr>
        <w:t xml:space="preserve">Que fait la direction des systèmes d'information de vos résultats, lundi matin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action, une cible, une trace : activer une discipline active sur le routeur du site cellulaire le plus chargé, la commande est dans le mémoire, une ligne de configuration, calée sous la capacité mesurée du lien. Coût : zéro ariary d'équipement. Durée : une fenêtre de maintenance. Retour : cinq minutes, la commande est réversible. Et l'instrument devient sentinelle : toute requête au-delà de l'échéance alerte au journal. La prescription ne porte que sur les équipements maîtrisés par la direction ; le dernier kilomètre opérateur relève de la discussion avec l'opérateur, appuyée par les mêmes mesures.</w:t>
      </w:r>
    </w:p>
    <w:p>
      <w:pPr>
        <w:spacing w:after="140" w:before="240" w:line="360"/>
      </w:pPr>
      <w:r>
        <w:rPr>
          <w:rFonts w:ascii="Times New Roman" w:cs="Times New Roman" w:eastAsia="Times New Roman" w:hAnsi="Times New Roman"/>
          <w:b/>
          <w:bCs/>
          <w:sz w:val="26"/>
          <w:szCs w:val="26"/>
        </w:rPr>
        <w:t xml:space="preserve">CAKE est-il toujours le meilleur choix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Sur le profil cellulaire testé, il protège le mieux l'échéance : quatre-vingt-dix-huit pour cent. Sur la fibre, dont la latence de base est faible, toutes les cellules tiennent l'échéance : la file simple s'y comporte convenablement, et fq_codel par défaut y suffit. La recommandation du mémoire est différenciée par classe de lien, pas absolue.</w:t>
      </w:r>
    </w:p>
    <w:p>
      <w:pPr>
        <w:spacing w:after="140" w:before="240" w:line="360"/>
      </w:pPr>
      <w:r>
        <w:rPr>
          <w:rFonts w:ascii="Times New Roman" w:cs="Times New Roman" w:eastAsia="Times New Roman" w:hAnsi="Times New Roman"/>
          <w:b/>
          <w:bCs/>
          <w:sz w:val="26"/>
          <w:szCs w:val="26"/>
        </w:rPr>
        <w:t xml:space="preserve">Vos résultats contredisent-ils la littérature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Ils la confirment sur un contexte peu documenté : des liens prépayés à forte latence de base. La hiérarchie des disciplines actives sur la file simple est celle de la RFC 8290 et des outils du domaine ; l'écart soixante contre quatre-vingt-dix-huit sur l'échéance à deux cent vingt millisecondes est l'apport local : la mesure de ce que la charge fait au trafic critique dans le contexte malgache, convertie en ariary, n'existait nulle part.</w:t>
      </w:r>
    </w:p>
    <w:p>
      <w:pPr>
        <w:spacing w:after="140" w:before="240" w:line="360"/>
      </w:pPr>
      <w:r>
        <w:rPr>
          <w:rFonts w:ascii="Times New Roman" w:cs="Times New Roman" w:eastAsia="Times New Roman" w:hAnsi="Times New Roman"/>
          <w:b/>
          <w:bCs/>
          <w:sz w:val="26"/>
          <w:szCs w:val="26"/>
        </w:rPr>
        <w:t xml:space="preserve">Combien de temps pour développer l'outil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conception de la mesure a précédé le développement : le protocole, les portes et les indicateurs d'abord, l'instrument ensuite. Le résultat : un binaire unique, sans dépendance d'exécution, avec ses tests par paquet, un assistant d'installation en sept étapes et dix-huit commandes de déploiement et de contrôle.</w:t>
      </w:r>
    </w:p>
    <w:p>
      <w:pPr>
        <w:spacing w:after="140" w:before="240" w:line="360"/>
      </w:pPr>
      <w:r>
        <w:rPr>
          <w:rFonts w:ascii="Times New Roman" w:cs="Times New Roman" w:eastAsia="Times New Roman" w:hAnsi="Times New Roman"/>
          <w:b/>
          <w:bCs/>
          <w:sz w:val="26"/>
          <w:szCs w:val="26"/>
        </w:rPr>
        <w:t xml:space="preserve">Un outil maison plutôt qu'existant : pourquoi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Deux raisons techniques : les outils publics de mesure s'exécutent sur des liens réels sans vérité contrôlée, ce qui interdit la comparaison reproductible de configurations ; et aucun n'archive ses résultats en fichiers gelés vérifiables, prolongeables par les tarifs locaux. L'apport : l'échéance comme engagement de service, la régularité comme indicateur de surveillance, le coût en ariary, et la chaîne de preuve du gel.</w:t>
      </w:r>
    </w:p>
    <w:p>
      <w:pPr>
        <w:spacing w:after="140" w:before="240" w:line="360"/>
      </w:pPr>
      <w:r>
        <w:rPr>
          <w:rFonts w:ascii="Times New Roman" w:cs="Times New Roman" w:eastAsia="Times New Roman" w:hAnsi="Times New Roman"/>
          <w:b/>
          <w:bCs/>
          <w:sz w:val="26"/>
          <w:szCs w:val="26"/>
        </w:rPr>
        <w:t xml:space="preserve">Qui maintiendra ce code quand vous serez parti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faits : le dépôt est public sous licence libre, le binaire est statique sans dépendance, chaque paquet a ses tests, la documentation couvre l'usage, le déploiement et l'architecture. Un technicien de la direction peut reprendre l'installation et l'exploitation sans l'auteur. Le recadrage honnête : c'est d'abord un banc de recherche reproductible ; le gel garantit qu'on peut rejouer et vérifier, pas qu'un produit est prêt à dépanner.</w:t>
      </w:r>
    </w:p>
    <w:p>
      <w:pPr>
        <w:spacing w:after="140" w:before="240" w:line="360"/>
      </w:pPr>
      <w:r>
        <w:rPr>
          <w:rFonts w:ascii="Times New Roman" w:cs="Times New Roman" w:eastAsia="Times New Roman" w:hAnsi="Times New Roman"/>
          <w:b/>
          <w:bCs/>
          <w:sz w:val="26"/>
          <w:szCs w:val="26"/>
        </w:rPr>
        <w:t xml:space="preserve">Généralisable à tout Madagascar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Les tendances se transportent aux liens de même classe : ce qui protège un lien cellulaire chargé protège un autre lien cellulaire chargé. Les valeurs absolues restent propres à chaque profil et se recalibrent par site : l'audit de terrain, en première perspective, produit exactement ces profils calés.</w:t>
      </w:r>
    </w:p>
    <w:p>
      <w:pPr>
        <w:spacing w:after="140" w:before="240" w:line="360"/>
      </w:pPr>
      <w:r>
        <w:rPr>
          <w:rFonts w:ascii="Times New Roman" w:cs="Times New Roman" w:eastAsia="Times New Roman" w:hAnsi="Times New Roman"/>
          <w:b/>
          <w:bCs/>
          <w:sz w:val="26"/>
          <w:szCs w:val="26"/>
        </w:rPr>
        <w:t xml:space="preserve">Trois limites principales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Première : le trafic est synthétique, un flux de charge unique ne reproduit pas le multiplexage réel des applications. Deuxième : le banc reconstitue le lien d'accès, délai, gigue, perte, mais non la couche radio. Troisième : la fenêtre de charge de cent vingt secondes n'atteint pas la saturation prolongée d'une journée. Le mémoire en documente six en tout, avec leurs bornes : les trois citées ici sont celles qui touchent l'interprétation des chiffres, les trois autres, l'empan du dispositif.</w:t>
      </w:r>
    </w:p>
    <w:p>
      <w:pPr>
        <w:spacing w:after="140" w:before="240" w:line="360"/>
      </w:pPr>
      <w:r>
        <w:rPr>
          <w:rFonts w:ascii="Times New Roman" w:cs="Times New Roman" w:eastAsia="Times New Roman" w:hAnsi="Times New Roman"/>
          <w:b/>
          <w:bCs/>
          <w:sz w:val="26"/>
          <w:szCs w:val="26"/>
        </w:rPr>
        <w:t xml:space="preserve">Starlink à débit fixe : les liens réels varient sans cesse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Juste : le profil P4 tient une capacité fixe et une gigue propre aux relais, pas la variation continue de débit minute par minute des liens cellulaires et orbitaux réels. Les pertes en rafales, elles, sont modélisées (Gilbert-Elliott). Ce que le banc en dit : la latence de base passe de six cents à quarante millisecondes, la difficulté se déplace du délai vers la gigue, et la discipline active garde prise sur la gigue de file, pas sur celle de la constellation. La variation continue de capacité est une limite nommée, et l'adaptation de débit en continu relève des travaux qui existent dans la communauté : c'est une perspective, pas un acquis.</w:t>
      </w:r>
    </w:p>
    <w:p>
      <w:pPr>
        <w:spacing w:after="140" w:before="240" w:line="360"/>
      </w:pPr>
      <w:r>
        <w:rPr>
          <w:rFonts w:ascii="Times New Roman" w:cs="Times New Roman" w:eastAsia="Times New Roman" w:hAnsi="Times New Roman"/>
          <w:b/>
          <w:bCs/>
          <w:sz w:val="26"/>
          <w:szCs w:val="26"/>
        </w:rPr>
        <w:t xml:space="preserve">Quel résultat vous a surpris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L'effondrement de CUBIC sur le profil cellulaire : trois cellules marquées invalid, non pour leur latence, excellente, mais parce que le contrôle fondé sur la perte interprète la perte de base du lien comme une congestion, réduit sa fenêtre et ne tient plus la charge. Le résultat détourné devient un enseignement : sur un lien cellulaire à perte de base, le choix du contrôle de congestion décide autant que la discipline de file.</w:t>
      </w:r>
    </w:p>
    <w:p>
      <w:pPr>
        <w:spacing w:after="140" w:before="240" w:line="360"/>
      </w:pPr>
      <w:r>
        <w:rPr>
          <w:rFonts w:ascii="Times New Roman" w:cs="Times New Roman" w:eastAsia="Times New Roman" w:hAnsi="Times New Roman"/>
          <w:b/>
          <w:bCs/>
          <w:sz w:val="26"/>
          <w:szCs w:val="26"/>
        </w:rPr>
        <w:t xml:space="preserve">Que faudrait-il pour que votre conclusion principale soit fausse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Une campagne répétée, trois répétitions systématiques par cellule, qui montrerait l'écart d'échéance soixante contre quatre-vingt-dix-huit pour cent se refermer ou s'inverser sur le profil cellulaire. L'écart actuel est massif et cohérent avec la mécanique des files : mais la réponse exacte est celle-ci, la falsification possible est nommée, et la première perspective la met à l'épreuve.</w:t>
      </w:r>
    </w:p>
    <w:p>
      <w:pPr>
        <w:spacing w:after="140" w:before="240" w:line="360"/>
      </w:pPr>
      <w:r>
        <w:rPr>
          <w:rFonts w:ascii="Times New Roman" w:cs="Times New Roman" w:eastAsia="Times New Roman" w:hAnsi="Times New Roman"/>
          <w:b/>
          <w:bCs/>
          <w:sz w:val="26"/>
          <w:szCs w:val="26"/>
        </w:rPr>
        <w:t xml:space="preserve">Quelle est la principale limite de ton travail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La question la plus posée en jury, toutes filières confondues, et le piège est de répondre une limite cosmétique. La vraie : les campagnes finales ne conduisent qu'une répétition par cellule — cela interdit les comparaisons fines entre disciplines voisines, pas les ordres de grandeur massifs. Ce que ça change : les conclusions sur les cellules à événement unique sont exploratoires. Ce qui est fait malgré elle : seize, douze et douze répétitions sur les vagues antérieures du profil cellulaire, cinquante-cinq sur la fibre, et trois répétitions systématiques en première perspective. Nommer, borner, mitiger : le jury hoche la tête.</w:t>
      </w:r>
    </w:p>
    <w:p>
      <w:pPr>
        <w:spacing w:after="140" w:before="240" w:line="360"/>
      </w:pPr>
      <w:r>
        <w:rPr>
          <w:rFonts w:ascii="Times New Roman" w:cs="Times New Roman" w:eastAsia="Times New Roman" w:hAnsi="Times New Roman"/>
          <w:b/>
          <w:bCs/>
          <w:sz w:val="26"/>
          <w:szCs w:val="26"/>
        </w:rPr>
        <w:t xml:space="preserve">Si tu refaisais ce mémoire aujourd'hui, que changerais-tu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Question piège déguisée en question gentille : « rien » passe pour de l'aveuglement, tout démolir pour une disqualification. Un seul changement précis, motivé par ce qui a été appris en route : instrumenter le multi-flux dès le début plutôt qu'en fin de travail — l'équité inter-flux serait mesurée sur toutes les cellules au lieu d'une partie, et la première limite tomberait avec la seconde. Le jury vérifie que la démarche scientifique a été intégrée, pas que le travail était parfait du premier coup.</w:t>
      </w:r>
    </w:p>
    <w:p>
      <w:pPr>
        <w:spacing w:after="140" w:before="240" w:line="360"/>
      </w:pPr>
      <w:r>
        <w:rPr>
          <w:rFonts w:ascii="Times New Roman" w:cs="Times New Roman" w:eastAsia="Times New Roman" w:hAnsi="Times New Roman"/>
          <w:b/>
          <w:bCs/>
          <w:sz w:val="26"/>
          <w:szCs w:val="26"/>
        </w:rPr>
        <w:t xml:space="preserve">Définis précisément ton concept central.</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Le bufferbloat : la dégradation du temps de réponse causée par l'accumulation persistante de paquets dans des files d'attente surdimensionnées, sans perte visible ni baisse de débit — d'après Gettys et les auteurs du domaine, RFC 8290. L'opérationnalisation dans ce mémoire : l'écart entre la latence des petites requêtes au repos et sous charge saturante, mesuré en millisecondes, avec une échéance qui en fait un engagement vérifiable. Un concept bien défini se mesure ; celui-ci se mesure en trois fenêtres de trente, cent vingt et trente secondes.</w:t>
      </w:r>
    </w:p>
    <w:p>
      <w:pPr>
        <w:spacing w:after="140" w:before="240" w:line="360"/>
      </w:pPr>
      <w:r>
        <w:rPr>
          <w:rFonts w:ascii="Times New Roman" w:cs="Times New Roman" w:eastAsia="Times New Roman" w:hAnsi="Times New Roman"/>
          <w:b/>
          <w:bCs/>
          <w:sz w:val="26"/>
          <w:szCs w:val="26"/>
        </w:rPr>
        <w:t xml:space="preserve">Y a-t-il des auteurs ou des outils importants que tu n'as pas cités ?</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Honnêteté d'abord : la revue couvre les disciplines de file (RFC 8290, RFC 7928, RFC 8033), la mesure sous charge (Flent), la note grand public (Waveform) et le précédent réglementaire (FCC). Ce qui n'y est pas : la gestion de file programmable (eBPF, XDP), la qualité de service Wi-Fi (WMM) et les ordonnanceurs radio des opérateurs — trois couches réelles qui influencent les liens mesurés sans être modélisées. Critère d'inclusion appliqué : ce que l'institution peut configurer sur ses équipements. Le reste est nommé en perspective, pas caché.</w:t>
      </w:r>
    </w:p>
    <w:p>
      <w:pPr>
        <w:spacing w:after="140" w:before="240" w:line="360"/>
      </w:pPr>
      <w:r>
        <w:rPr>
          <w:rFonts w:ascii="Times New Roman" w:cs="Times New Roman" w:eastAsia="Times New Roman" w:hAnsi="Times New Roman"/>
          <w:b/>
          <w:bCs/>
          <w:sz w:val="26"/>
          <w:szCs w:val="26"/>
        </w:rPr>
        <w:t xml:space="preserve">Expliquez votre mémoire à un directeur non technique, en une minute.</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Nos liens téléphoniques prépayés transportent deux choses : les alertes qui sauvent des vies et les téléchargements qui remplissent les disques. Sur nos liens, les alertes attendaient derrière les téléchargements : soixante pour cent seulement arrivaient à temps. Un réglage du routeur, sans nouvel équipement, fait passer quatre-vingt-dix-huit pour cent des alertes à temps, au même prix d'abonnement. Le réglage tient en une ligne, la preuve est archivée et vérifiable, et le gaspillage évitable se chiffre en ariary.</w:t>
      </w:r>
    </w:p>
    <w:p>
      <w:pPr>
        <w:spacing w:after="140" w:before="240" w:line="360"/>
      </w:pPr>
      <w:r>
        <w:rPr>
          <w:rFonts w:ascii="Times New Roman" w:cs="Times New Roman" w:eastAsia="Times New Roman" w:hAnsi="Times New Roman"/>
          <w:b/>
          <w:bCs/>
          <w:sz w:val="26"/>
          <w:szCs w:val="26"/>
        </w:rPr>
        <w:t xml:space="preserve">Phrases de dernier recours, à n'utiliser qu'en déplacement.</w:t>
      </w:r>
    </w:p>
    <w:p>
      <w:pPr>
        <w:spacing w:after="120" w:line="360"/>
        <w:ind w:firstLine="709"/>
        <w:jc w:val="both"/>
      </w:pPr>
      <w:r>
        <w:rPr>
          <w:rFonts w:ascii="Times New Roman" w:cs="Times New Roman" w:eastAsia="Times New Roman" w:hAnsi="Times New Roman"/>
          <w:b w:val="false"/>
          <w:bCs w:val="false"/>
          <w:i w:val="false"/>
          <w:iCs w:val="false"/>
          <w:sz w:val="24"/>
          <w:szCs w:val="24"/>
        </w:rPr>
        <w:t xml:space="preserve">« C'est un choix de périmètre, documenté au chapitre méthodologie. » « La réponse complète figure dans le mémoire ; l'essentiel est le suivant. » « Je n'ai pas cette valeur sous la main ; la démarche pour l'obtenir serait celle-ci. » « Ce point dépasse mon périmètre ; voici ce que j'en comprends. » Chacune recadre sans esquiver ; aucune ne remplace une réponse chiffrée.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2026-09-04T22:04:36.525Z</dcterms:created>
  <dcterms:modified xsi:type="dcterms:W3CDTF">2026-09-04T22:04:36.526Z</dcterms:modified>
</cp:coreProperties>
</file>

<file path=docProps/custom.xml><?xml version="1.0" encoding="utf-8"?>
<Properties xmlns="http://schemas.openxmlformats.org/officeDocument/2006/custom-properties" xmlns:vt="http://schemas.openxmlformats.org/officeDocument/2006/docPropsVTypes"/>
</file>