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276"/>
        <w:jc w:val="center"/>
      </w:pPr>
      <w:r>
        <w:rPr>
          <w:b/>
          <w:bCs/>
          <w:caps w:val="false"/>
          <w:sz w:val="32"/>
          <w:szCs w:val="32"/>
        </w:rPr>
        <w:t xml:space="preserve">UNIVERSITÉ D'ANTANANARIVO</w:t>
      </w:r>
    </w:p>
    <w:p>
      <w:pPr>
        <w:spacing w:after="120" w:before="0" w:line="276"/>
        <w:jc w:val="center"/>
      </w:pPr>
      <w:r>
        <w:rPr>
          <w:b/>
          <w:bCs/>
          <w:caps w:val="false"/>
          <w:sz w:val="26"/>
          <w:szCs w:val="26"/>
        </w:rPr>
        <w:t xml:space="preserve">DOMAINE SCIENCES ET TECHNOLOGIES</w:t>
      </w:r>
    </w:p>
    <w:p>
      <w:pPr>
        <w:spacing w:after="500" w:before="0" w:line="276"/>
        <w:jc w:val="center"/>
      </w:pPr>
      <w:r>
        <w:rPr>
          <w:b w:val="false"/>
          <w:bCs w:val="false"/>
          <w:caps w:val="false"/>
          <w:sz w:val="24"/>
          <w:szCs w:val="24"/>
        </w:rPr>
        <w:t xml:space="preserve">Mention : Informatique</w:t>
      </w:r>
    </w:p>
    <w:p>
      <w:pPr>
        <w:spacing w:after="120" w:before="600" w:line="276"/>
        <w:jc w:val="center"/>
      </w:pPr>
      <w:r>
        <w:rPr>
          <w:b/>
          <w:bCs/>
          <w:caps w:val="false"/>
          <w:sz w:val="28"/>
          <w:szCs w:val="28"/>
        </w:rPr>
        <w:t xml:space="preserve">MÉMOIRE DE FIN D'ÉTUDES</w:t>
      </w:r>
    </w:p>
    <w:p>
      <w:pPr>
        <w:spacing w:after="700" w:before="0" w:line="276"/>
        <w:jc w:val="center"/>
      </w:pPr>
      <w:r>
        <w:rPr>
          <w:b w:val="false"/>
          <w:bCs w:val="false"/>
          <w:caps w:val="false"/>
          <w:sz w:val="24"/>
          <w:szCs w:val="24"/>
        </w:rPr>
        <w:t xml:space="preserve">en vue de l'obtention du Diplôme de Master en Informatique</w:t>
      </w:r>
    </w:p>
    <w:p>
      <w:pPr>
        <w:pBdr>
          <w:bottom w:val="single" w:color="000000" w:sz="6"/>
        </w:pBdr>
        <w:spacing w:after="60" w:before="60"/>
        <w:jc w:val="center"/>
      </w:pPr>
    </w:p>
    <w:p>
      <w:pPr>
        <w:spacing w:after="200" w:before="300" w:line="276"/>
        <w:jc w:val="center"/>
      </w:pPr>
      <w:r>
        <w:rPr>
          <w:b/>
          <w:bCs/>
          <w:caps w:val="false"/>
          <w:sz w:val="32"/>
          <w:szCs w:val="32"/>
        </w:rPr>
        <w:t xml:space="preserve">Un instrument de mesure expérimentale pour la caractérisation de la congestion sur les liens d'accès malgaches</w:t>
      </w:r>
    </w:p>
    <w:p>
      <w:pPr>
        <w:spacing w:after="300" w:before="0" w:line="276"/>
        <w:jc w:val="center"/>
      </w:pPr>
      <w:r>
        <w:rPr>
          <w:b w:val="false"/>
          <w:bCs w:val="false"/>
          <w:caps w:val="false"/>
          <w:sz w:val="26"/>
          <w:szCs w:val="26"/>
        </w:rPr>
        <w:t xml:space="preserve">CGO : Congestion Ground-truth Observatory</w:t>
      </w:r>
    </w:p>
    <w:p>
      <w:pPr>
        <w:pBdr>
          <w:bottom w:val="single" w:color="000000" w:sz="6"/>
        </w:pBdr>
        <w:spacing w:after="60" w:before="60"/>
        <w:jc w:val="center"/>
      </w:pPr>
    </w:p>
    <w:p>
      <w:pPr>
        <w:spacing w:after="120" w:before="700" w:line="276"/>
        <w:jc w:val="center"/>
      </w:pPr>
      <w:r>
        <w:rPr>
          <w:b w:val="false"/>
          <w:bCs w:val="false"/>
          <w:caps w:val="false"/>
          <w:sz w:val="24"/>
          <w:szCs w:val="24"/>
        </w:rPr>
        <w:t xml:space="preserve">Présenté par : [NOM DE L'AUTEUR]</w:t>
      </w:r>
    </w:p>
    <w:p>
      <w:pPr>
        <w:spacing w:after="120" w:before="0" w:line="276"/>
        <w:jc w:val="center"/>
      </w:pPr>
      <w:r>
        <w:rPr>
          <w:b w:val="false"/>
          <w:bCs w:val="false"/>
          <w:caps w:val="false"/>
          <w:sz w:val="24"/>
          <w:szCs w:val="24"/>
        </w:rPr>
        <w:t xml:space="preserve">Sous la direction de : [Nom du Directeur de Mémoire]</w:t>
      </w:r>
    </w:p>
    <w:p>
      <w:pPr>
        <w:spacing w:after="400" w:before="400" w:line="276"/>
        <w:jc w:val="center"/>
      </w:pPr>
      <w:r>
        <w:rPr>
          <w:b w:val="false"/>
          <w:bCs w:val="false"/>
          <w:caps w:val="false"/>
          <w:sz w:val="24"/>
          <w:szCs w:val="24"/>
        </w:rPr>
        <w:t xml:space="preserve">Année universitaire : 2025 – 2026</w:t>
      </w:r>
    </w:p>
    <w:p>
      <w:pPr>
        <w:spacing w:after="60" w:before="0" w:line="276"/>
        <w:jc w:val="center"/>
      </w:pPr>
      <w:r>
        <w:rPr>
          <w:b w:val="false"/>
          <w:bCs w:val="false"/>
          <w:caps w:val="false"/>
          <w:sz w:val="22"/>
          <w:szCs w:val="22"/>
        </w:rPr>
        <w:t xml:space="preserve">Soutenu le [date] devant le jury composé de :</w:t>
      </w:r>
    </w:p>
    <w:p>
      <w:pPr>
        <w:spacing w:after="60" w:before="0" w:line="276"/>
        <w:jc w:val="center"/>
      </w:pPr>
      <w:r>
        <w:rPr>
          <w:b w:val="false"/>
          <w:bCs w:val="false"/>
          <w:caps w:val="false"/>
          <w:sz w:val="22"/>
          <w:szCs w:val="22"/>
        </w:rPr>
        <w:t xml:space="preserve">Président : [Nom]</w:t>
      </w:r>
    </w:p>
    <w:p>
      <w:pPr>
        <w:spacing w:after="60" w:before="0" w:line="276"/>
        <w:jc w:val="center"/>
      </w:pPr>
      <w:r>
        <w:rPr>
          <w:b w:val="false"/>
          <w:bCs w:val="false"/>
          <w:caps w:val="false"/>
          <w:sz w:val="22"/>
          <w:szCs w:val="22"/>
        </w:rPr>
        <w:t xml:space="preserve">Examinateur : [Nom]</w:t>
      </w:r>
    </w:p>
    <w:p>
      <w:pPr>
        <w:spacing w:after="60" w:before="0" w:line="276"/>
        <w:jc w:val="center"/>
      </w:pPr>
      <w:r>
        <w:rPr>
          <w:b w:val="false"/>
          <w:bCs w:val="false"/>
          <w:caps w:val="false"/>
          <w:sz w:val="22"/>
          <w:szCs w:val="22"/>
        </w:rPr>
        <w:t xml:space="preserve">Encadreur : [Nom]</w:t>
      </w:r>
    </w:p>
    <w:p>
      <w:pPr>
        <w:sectPr>
          <w:pgSz w:w="11906" w:h="16838" w:orient="portrait"/>
          <w:pgMar w:top="1417" w:right="1417" w:bottom="1417" w:left="1417" w:header="708" w:footer="708" w:gutter="0"/>
          <w:pgNumType/>
          <w:titlePg/>
          <w:docGrid w:linePitch="360"/>
        </w:sectPr>
      </w:pPr>
    </w:p>
    <w:p>
      <w:pPr>
        <w:pStyle w:val="Heading1"/>
        <w:pageBreakBefore/>
        <w:spacing w:after="360" w:before="0" w:line="360"/>
        <w:jc w:val="center"/>
      </w:pPr>
      <w:r>
        <w:t xml:space="preserve">REMERCIEMENTS</w:t>
      </w:r>
    </w:p>
    <w:p>
      <w:pPr>
        <w:spacing w:after="0" w:line="360"/>
        <w:ind w:firstLine="709"/>
        <w:jc w:val="both"/>
      </w:pPr>
      <w:r>
        <w:t xml:space="preserve">Ce mémoire est le fruit d'un travail mené dans des conditions qui, sans le soutien de plusieurs personnes et institutions, n'auraient pas permis d'aboutir. Je tiens à exprimer ma reconnaissance à celles et ceux qui ont contribué, de près ou de loin, à sa réalisation.</w:t>
      </w:r>
    </w:p>
    <w:p>
      <w:pPr>
        <w:spacing w:after="0" w:line="360"/>
        <w:ind w:firstLine="709"/>
        <w:jc w:val="both"/>
      </w:pPr>
      <w:r>
        <w:t xml:space="preserve">Je remercie [Nom du Directeur], directeur de ce mémoire, pour la confiance accordée, la disponibilité et les conseils qui ont guidé ce travail du premier croquis jusqu'à la rédaction finale. Sa relecture exigeante a considérablement amélioré la clarté de l'argumentation.</w:t>
      </w:r>
    </w:p>
    <w:p>
      <w:pPr>
        <w:spacing w:after="0" w:line="360"/>
        <w:ind w:firstLine="709"/>
        <w:jc w:val="both"/>
      </w:pPr>
      <w:r>
        <w:t xml:space="preserve">Je remercie les membres du jury qui ont accepté d'évaluer ce travail. Leurs remarques et suggestions contribueront à en améliorer la portée.</w:t>
      </w:r>
    </w:p>
    <w:p>
      <w:pPr>
        <w:spacing w:after="0" w:line="360"/>
        <w:ind w:firstLine="709"/>
        <w:jc w:val="both"/>
      </w:pPr>
      <w:r>
        <w:t xml:space="preserve">Je remercie l'équipe pédagogique de la Mention Informatique de l'Université d'Antananarivo pour la formation dispensée, et en particulier [Nom] pour les discussions sur les méthodes de mesure réseau et la reproductibilité des expériences.</w:t>
      </w:r>
    </w:p>
    <w:p>
      <w:pPr>
        <w:spacing w:after="0" w:line="360"/>
        <w:ind w:firstLine="709"/>
        <w:jc w:val="both"/>
      </w:pPr>
      <w:r>
        <w:t xml:space="preserve">Sur le plan matériel, ce travail a bénéficié du soutien de [partenaire / laboratoire]. Les mesures sur lien 4G réel ont été réalisées avec une carte prépayée acquise localement. Les coupures électriques ayant ponctué la phase de rédaction ont été l'occasion de tester en conditions réelles les mécanismes de reprise décrits dans ce mémoire.</w:t>
      </w:r>
    </w:p>
    <w:p>
      <w:pPr>
        <w:spacing w:after="0" w:line="360"/>
        <w:ind w:firstLine="709"/>
        <w:jc w:val="both"/>
      </w:pPr>
      <w:r>
        <w:t xml:space="preserve">Enfin, je remercie ma famille pour son soutien inconditionnel, et les communautés du logiciel libre dont les outils (Linux, Go, Node.js) ont rendu ce travail possible sans dépendre d'aucun éditeur propriétaire.</w:t>
      </w:r>
    </w:p>
    <w:p>
      <w:pPr>
        <w:pStyle w:val="Heading1"/>
        <w:pageBreakBefore/>
        <w:spacing w:after="360" w:before="0" w:line="360"/>
        <w:jc w:val="center"/>
      </w:pPr>
      <w:r>
        <w:t xml:space="preserve">RÉSUMÉ</w:t>
      </w:r>
    </w:p>
    <w:p>
      <w:pPr>
        <w:spacing w:after="0" w:line="360"/>
        <w:ind w:firstLine="709"/>
        <w:jc w:val="both"/>
      </w:pPr>
      <w:r>
        <w:t xml:space="preserve">Ce mémoire présente CGO (Congestion Ground-truth Observatory), un instrument de mesure expérimentale destiné à caractériser la dynamique de congestion sur les liens d'accès à haut temps de propagation, à capacité variable et à coût élevé, typiques des accès 4G et satellite de la classe malgache. Le dispositif repose sur une émulation contrôlée dotée d'une vérité terrain connue par construction : un ordonnanceur rejoue des baisses de capacité programmées (échelons, rampes, effondrements diurnes) sur un lien façonné par le noyau Linux, pendant qu'un oracle extrait à 10 Hz les compteurs exacts de la file d'attente.</w:t>
      </w:r>
    </w:p>
    <w:p>
      <w:pPr>
        <w:spacing w:after="0" w:line="360"/>
        <w:ind w:firstLine="709"/>
        <w:jc w:val="both"/>
      </w:pPr>
      <w:r>
        <w:t xml:space="preserve">Trois questions sont traitées : quel détecteur d'événement de congestion repère le plus tôt le début réel de la congestion à coût de faux positif égal ; avec quelle précision des sondes actives légères retrouvent la bande passante disponible d'un lien limité en débit ; et si un façonneur adaptatif déclenché par la détection fait mieux que des configurations statiques de gestion active de file. Cinq détecteurs sont implémentés : seuil fixe, gradient, EWMA, z-score sur médiane glissante, et test de Kolmogorov-Smirnov à deux échantillons. Sur 204 débuts de congestion rejoués, le test de Kolmogorov-Smirnov détecte le plus tôt (médiane de 1 444 ms contre 2 329 ms pour le seuil fixe) au prix du taux de fausses alarmes le plus élevé (5,39 %). Sur 152 événements d'atténuation, le façonneur adaptatif réduit le délai médian de file de 87,3 ms (pfifo_fast) à 13,5 ms et divise par six le gaspillage d'octets. Chaque nombre publié est vérifié par un canal indépendant (tcpdump, iperf3, ping horodaté), et chaque figure est régénérable à partir d'une archive de données gelée et hachée par SHA-256.</w:t>
      </w:r>
    </w:p>
    <w:p>
      <w:pPr>
        <w:spacing w:after="0" w:line="360"/>
        <w:jc w:val="both"/>
      </w:pPr>
      <w:r>
        <w:rPr>
          <w:i/>
          <w:iCs/>
        </w:rPr>
        <w:t xml:space="preserve">Mots-clés : congestion réseau, bufferbloat, gestion active de file d'attente, détection d'événements, test de Kolmogorov-Smirnov, EWMA, mesure reproductible, lien 4G, Madagascar, bandit manchot ARMS.</w:t>
      </w:r>
    </w:p>
    <w:p>
      <w:pPr>
        <w:pStyle w:val="Heading1"/>
        <w:pageBreakBefore/>
        <w:spacing w:after="360" w:before="0" w:line="360"/>
        <w:jc w:val="center"/>
      </w:pPr>
      <w:r>
        <w:t xml:space="preserve">ABSTRACT</w:t>
      </w:r>
    </w:p>
    <w:p>
      <w:pPr>
        <w:spacing w:after="0" w:line="360"/>
        <w:ind w:firstLine="709"/>
        <w:jc w:val="both"/>
      </w:pPr>
      <w:r>
        <w:t xml:space="preserve">This thesis presents CGO (Congestion Ground-truth Observatory), an experimental measurement instrument designed to characterise congestion dynamics on high-latency, variable-capacity, expensive access links of the Malagasy class (4G and satellite). The setup relies on controlled emulation with ground truth known by construction: a scheduler replays programmed capacity drops (steps, ramps, diurnal collapses) on a kernel-shaped link while an oracle extracts exact queue counters at 10 Hz.</w:t>
      </w:r>
    </w:p>
    <w:p>
      <w:pPr>
        <w:spacing w:after="0" w:line="360"/>
        <w:ind w:firstLine="709"/>
        <w:jc w:val="both"/>
      </w:pPr>
      <w:r>
        <w:t xml:space="preserve">Three questions are addressed: which congestion-onset detector finds ground-truth onsets earliest at equal false-positive cost; how accurately lightweight active probes recover the available bandwidth of a rate-limited link; and whether a detection-triggered adaptive shaper outperforms static active queue management configurations. Five detectors are implemented: fixed threshold, gradient, EWMA, sliding-window z-score, and two-sample Kolmogorov-Smirnov test. Over 204 replayed congestion onsets, the Kolmogorov-Smirnov test detects earliest (median 1,444 ms versus 2,329 ms for the fixed threshold) at the price of the highest false-alarm rate (5.39 %). Over 152 mitigation events, the adaptive shaper reduces the median queueing delay from 87.3 ms (pfifo_fast) to 13.5 ms and divides wasted bytes by six. Every published number is cross-checked by an independent channel (tcpdump, iperf3, timestamped ping), and every figure is regenerable from a frozen, hash-chained data archive.</w:t>
      </w:r>
    </w:p>
    <w:p>
      <w:pPr>
        <w:spacing w:after="0" w:line="360"/>
        <w:jc w:val="both"/>
      </w:pPr>
      <w:r>
        <w:rPr>
          <w:i/>
          <w:iCs/>
        </w:rPr>
        <w:t xml:space="preserve">Keywords: network congestion, bufferbloat, active queue management, onset detection, Kolmogorov-Smirnov test, EWMA, reproducible measurement, 4G link, Madagascar, ARMS bandit.</w:t>
      </w:r>
    </w:p>
    <w:p>
      <w:pPr>
        <w:pStyle w:val="Heading1"/>
        <w:pageBreakBefore/>
        <w:spacing w:after="360" w:before="0" w:line="360"/>
        <w:jc w:val="center"/>
      </w:pPr>
      <w:r>
        <w:t xml:space="preserve">LISTE DES SIGLES ET ABRÉVIATIONS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18%"/>
            <w:tcMar>
              <w:top w:type="dxa" w:w="40"/>
              <w:left w:type="dxa" w:w="0"/>
              <w:bottom w:type="dxa" w:w="40"/>
              <w:right w:type="dxa" w:w="100"/>
            </w:tcMar>
          </w:tcPr>
          <w:p>
            <w:pPr>
              <w:spacing w:after="0" w:line="276"/>
            </w:pPr>
            <w:r>
              <w:t xml:space="preserve">AQM</w:t>
            </w:r>
          </w:p>
        </w:tc>
        <w:tc>
          <w:tcPr>
            <w:tcW w:type="pct" w:w="82%"/>
            <w:tcMar>
              <w:top w:type="dxa" w:w="40"/>
              <w:left w:type="dxa" w:w="100"/>
              <w:bottom w:type="dxa" w:w="40"/>
              <w:right w:type="dxa" w:w="0"/>
            </w:tcMar>
          </w:tcPr>
          <w:p>
            <w:pPr>
              <w:spacing w:after="0" w:line="276"/>
              <w:jc w:val="both"/>
            </w:pPr>
            <w:r>
              <w:t xml:space="preserve">Active Queue Management (gestion active de file d'attente)</w:t>
            </w:r>
          </w:p>
        </w:tc>
      </w:tr>
      <w:tr>
        <w:trPr>
          <w:cantSplit/>
        </w:trPr>
        <w:tc>
          <w:tcPr>
            <w:tcW w:type="pct" w:w="18%"/>
            <w:tcMar>
              <w:top w:type="dxa" w:w="40"/>
              <w:left w:type="dxa" w:w="0"/>
              <w:bottom w:type="dxa" w:w="40"/>
              <w:right w:type="dxa" w:w="100"/>
            </w:tcMar>
          </w:tcPr>
          <w:p>
            <w:pPr>
              <w:spacing w:after="0" w:line="276"/>
            </w:pPr>
            <w:r>
              <w:t xml:space="preserve">ARMS</w:t>
            </w:r>
          </w:p>
        </w:tc>
        <w:tc>
          <w:tcPr>
            <w:tcW w:type="pct" w:w="82%"/>
            <w:tcMar>
              <w:top w:type="dxa" w:w="40"/>
              <w:left w:type="dxa" w:w="100"/>
              <w:bottom w:type="dxa" w:w="40"/>
              <w:right w:type="dxa" w:w="0"/>
            </w:tcMar>
          </w:tcPr>
          <w:p>
            <w:pPr>
              <w:spacing w:after="0" w:line="276"/>
              <w:jc w:val="both"/>
            </w:pPr>
            <w:r>
              <w:t xml:space="preserve">Adaptive Reward Multi-armed Shaper (bandit manchot du façonneur adaptatif)</w:t>
            </w:r>
          </w:p>
        </w:tc>
      </w:tr>
      <w:tr>
        <w:trPr>
          <w:cantSplit/>
        </w:trPr>
        <w:tc>
          <w:tcPr>
            <w:tcW w:type="pct" w:w="18%"/>
            <w:tcMar>
              <w:top w:type="dxa" w:w="40"/>
              <w:left w:type="dxa" w:w="0"/>
              <w:bottom w:type="dxa" w:w="40"/>
              <w:right w:type="dxa" w:w="100"/>
            </w:tcMar>
          </w:tcPr>
          <w:p>
            <w:pPr>
              <w:spacing w:after="0" w:line="276"/>
            </w:pPr>
            <w:r>
              <w:t xml:space="preserve">ARTEC</w:t>
            </w:r>
          </w:p>
        </w:tc>
        <w:tc>
          <w:tcPr>
            <w:tcW w:type="pct" w:w="82%"/>
            <w:tcMar>
              <w:top w:type="dxa" w:w="40"/>
              <w:left w:type="dxa" w:w="100"/>
              <w:bottom w:type="dxa" w:w="40"/>
              <w:right w:type="dxa" w:w="0"/>
            </w:tcMar>
          </w:tcPr>
          <w:p>
            <w:pPr>
              <w:spacing w:after="0" w:line="276"/>
              <w:jc w:val="both"/>
            </w:pPr>
            <w:r>
              <w:t xml:space="preserve">Autorité de Régulation des Technologies de Communication (Madagascar)</w:t>
            </w:r>
          </w:p>
        </w:tc>
      </w:tr>
      <w:tr>
        <w:trPr>
          <w:cantSplit/>
        </w:trPr>
        <w:tc>
          <w:tcPr>
            <w:tcW w:type="pct" w:w="18%"/>
            <w:tcMar>
              <w:top w:type="dxa" w:w="40"/>
              <w:left w:type="dxa" w:w="0"/>
              <w:bottom w:type="dxa" w:w="40"/>
              <w:right w:type="dxa" w:w="100"/>
            </w:tcMar>
          </w:tcPr>
          <w:p>
            <w:pPr>
              <w:spacing w:after="0" w:line="276"/>
            </w:pPr>
            <w:r>
              <w:t xml:space="preserve">BBR</w:t>
            </w:r>
          </w:p>
        </w:tc>
        <w:tc>
          <w:tcPr>
            <w:tcW w:type="pct" w:w="82%"/>
            <w:tcMar>
              <w:top w:type="dxa" w:w="40"/>
              <w:left w:type="dxa" w:w="100"/>
              <w:bottom w:type="dxa" w:w="40"/>
              <w:right w:type="dxa" w:w="0"/>
            </w:tcMar>
          </w:tcPr>
          <w:p>
            <w:pPr>
              <w:spacing w:after="0" w:line="276"/>
              <w:jc w:val="both"/>
            </w:pPr>
            <w:r>
              <w:t xml:space="preserve">Bottleneck Bandwidth and Round-trip propagation time (contrôle de congestion)</w:t>
            </w:r>
          </w:p>
        </w:tc>
      </w:tr>
      <w:tr>
        <w:trPr>
          <w:cantSplit/>
        </w:trPr>
        <w:tc>
          <w:tcPr>
            <w:tcW w:type="pct" w:w="18%"/>
            <w:tcMar>
              <w:top w:type="dxa" w:w="40"/>
              <w:left w:type="dxa" w:w="0"/>
              <w:bottom w:type="dxa" w:w="40"/>
              <w:right w:type="dxa" w:w="100"/>
            </w:tcMar>
          </w:tcPr>
          <w:p>
            <w:pPr>
              <w:spacing w:after="0" w:line="276"/>
            </w:pPr>
            <w:r>
              <w:t xml:space="preserve">CGO</w:t>
            </w:r>
          </w:p>
        </w:tc>
        <w:tc>
          <w:tcPr>
            <w:tcW w:type="pct" w:w="82%"/>
            <w:tcMar>
              <w:top w:type="dxa" w:w="40"/>
              <w:left w:type="dxa" w:w="100"/>
              <w:bottom w:type="dxa" w:w="40"/>
              <w:right w:type="dxa" w:w="0"/>
            </w:tcMar>
          </w:tcPr>
          <w:p>
            <w:pPr>
              <w:spacing w:after="0" w:line="276"/>
              <w:jc w:val="both"/>
            </w:pPr>
            <w:r>
              <w:t xml:space="preserve">Congestion Ground-truth Observatory (l'observatoire proposé)</w:t>
            </w:r>
          </w:p>
        </w:tc>
      </w:tr>
      <w:tr>
        <w:trPr>
          <w:cantSplit/>
        </w:trPr>
        <w:tc>
          <w:tcPr>
            <w:tcW w:type="pct" w:w="18%"/>
            <w:tcMar>
              <w:top w:type="dxa" w:w="40"/>
              <w:left w:type="dxa" w:w="0"/>
              <w:bottom w:type="dxa" w:w="40"/>
              <w:right w:type="dxa" w:w="100"/>
            </w:tcMar>
          </w:tcPr>
          <w:p>
            <w:pPr>
              <w:spacing w:after="0" w:line="276"/>
            </w:pPr>
            <w:r>
              <w:t xml:space="preserve">CoDel</w:t>
            </w:r>
          </w:p>
        </w:tc>
        <w:tc>
          <w:tcPr>
            <w:tcW w:type="pct" w:w="82%"/>
            <w:tcMar>
              <w:top w:type="dxa" w:w="40"/>
              <w:left w:type="dxa" w:w="100"/>
              <w:bottom w:type="dxa" w:w="40"/>
              <w:right w:type="dxa" w:w="0"/>
            </w:tcMar>
          </w:tcPr>
          <w:p>
            <w:pPr>
              <w:spacing w:after="0" w:line="276"/>
              <w:jc w:val="both"/>
            </w:pPr>
            <w:r>
              <w:t xml:space="preserve">Controlled Delay (algorithme de gestion active de file)</w:t>
            </w:r>
          </w:p>
        </w:tc>
      </w:tr>
      <w:tr>
        <w:trPr>
          <w:cantSplit/>
        </w:trPr>
        <w:tc>
          <w:tcPr>
            <w:tcW w:type="pct" w:w="18%"/>
            <w:tcMar>
              <w:top w:type="dxa" w:w="40"/>
              <w:left w:type="dxa" w:w="0"/>
              <w:bottom w:type="dxa" w:w="40"/>
              <w:right w:type="dxa" w:w="100"/>
            </w:tcMar>
          </w:tcPr>
          <w:p>
            <w:pPr>
              <w:spacing w:after="0" w:line="276"/>
            </w:pPr>
            <w:r>
              <w:t xml:space="preserve">CSV</w:t>
            </w:r>
          </w:p>
        </w:tc>
        <w:tc>
          <w:tcPr>
            <w:tcW w:type="pct" w:w="82%"/>
            <w:tcMar>
              <w:top w:type="dxa" w:w="40"/>
              <w:left w:type="dxa" w:w="100"/>
              <w:bottom w:type="dxa" w:w="40"/>
              <w:right w:type="dxa" w:w="0"/>
            </w:tcMar>
          </w:tcPr>
          <w:p>
            <w:pPr>
              <w:spacing w:after="0" w:line="276"/>
              <w:jc w:val="both"/>
            </w:pPr>
            <w:r>
              <w:t xml:space="preserve">Comma-Separated Values (format de données tabulaires)</w:t>
            </w:r>
          </w:p>
        </w:tc>
      </w:tr>
      <w:tr>
        <w:trPr>
          <w:cantSplit/>
        </w:trPr>
        <w:tc>
          <w:tcPr>
            <w:tcW w:type="pct" w:w="18%"/>
            <w:tcMar>
              <w:top w:type="dxa" w:w="40"/>
              <w:left w:type="dxa" w:w="0"/>
              <w:bottom w:type="dxa" w:w="40"/>
              <w:right w:type="dxa" w:w="100"/>
            </w:tcMar>
          </w:tcPr>
          <w:p>
            <w:pPr>
              <w:spacing w:after="0" w:line="276"/>
            </w:pPr>
            <w:r>
              <w:t xml:space="preserve">CUBIC</w:t>
            </w:r>
          </w:p>
        </w:tc>
        <w:tc>
          <w:tcPr>
            <w:tcW w:type="pct" w:w="82%"/>
            <w:tcMar>
              <w:top w:type="dxa" w:w="40"/>
              <w:left w:type="dxa" w:w="100"/>
              <w:bottom w:type="dxa" w:w="40"/>
              <w:right w:type="dxa" w:w="0"/>
            </w:tcMar>
          </w:tcPr>
          <w:p>
            <w:pPr>
              <w:spacing w:after="0" w:line="276"/>
              <w:jc w:val="both"/>
            </w:pPr>
            <w:r>
              <w:t xml:space="preserve">Algorithme de contrôle de congestion par défaut de Linux</w:t>
            </w:r>
          </w:p>
        </w:tc>
      </w:tr>
      <w:tr>
        <w:trPr>
          <w:cantSplit/>
        </w:trPr>
        <w:tc>
          <w:tcPr>
            <w:tcW w:type="pct" w:w="18%"/>
            <w:tcMar>
              <w:top w:type="dxa" w:w="40"/>
              <w:left w:type="dxa" w:w="0"/>
              <w:bottom w:type="dxa" w:w="40"/>
              <w:right w:type="dxa" w:w="100"/>
            </w:tcMar>
          </w:tcPr>
          <w:p>
            <w:pPr>
              <w:spacing w:after="0" w:line="276"/>
            </w:pPr>
            <w:r>
              <w:t xml:space="preserve">DEM</w:t>
            </w:r>
          </w:p>
        </w:tc>
        <w:tc>
          <w:tcPr>
            <w:tcW w:type="pct" w:w="82%"/>
            <w:tcMar>
              <w:top w:type="dxa" w:w="40"/>
              <w:left w:type="dxa" w:w="100"/>
              <w:bottom w:type="dxa" w:w="40"/>
              <w:right w:type="dxa" w:w="0"/>
            </w:tcMar>
          </w:tcPr>
          <w:p>
            <w:pPr>
              <w:spacing w:after="0" w:line="276"/>
              <w:jc w:val="both"/>
            </w:pPr>
            <w:r>
              <w:t xml:space="preserve">Direction des Exploitations Météorologiques (Météo Madagascar)</w:t>
            </w:r>
          </w:p>
        </w:tc>
      </w:tr>
      <w:tr>
        <w:trPr>
          <w:cantSplit/>
        </w:trPr>
        <w:tc>
          <w:tcPr>
            <w:tcW w:type="pct" w:w="18%"/>
            <w:tcMar>
              <w:top w:type="dxa" w:w="40"/>
              <w:left w:type="dxa" w:w="0"/>
              <w:bottom w:type="dxa" w:w="40"/>
              <w:right w:type="dxa" w:w="100"/>
            </w:tcMar>
          </w:tcPr>
          <w:p>
            <w:pPr>
              <w:spacing w:after="0" w:line="276"/>
            </w:pPr>
            <w:r>
              <w:t xml:space="preserve">DGM</w:t>
            </w:r>
          </w:p>
        </w:tc>
        <w:tc>
          <w:tcPr>
            <w:tcW w:type="pct" w:w="82%"/>
            <w:tcMar>
              <w:top w:type="dxa" w:w="40"/>
              <w:left w:type="dxa" w:w="100"/>
              <w:bottom w:type="dxa" w:w="40"/>
              <w:right w:type="dxa" w:w="0"/>
            </w:tcMar>
          </w:tcPr>
          <w:p>
            <w:pPr>
              <w:spacing w:after="0" w:line="276"/>
              <w:jc w:val="both"/>
            </w:pPr>
            <w:r>
              <w:t xml:space="preserve">Direction Générale de la Météorologie (Météo Madagascar)</w:t>
            </w:r>
          </w:p>
        </w:tc>
      </w:tr>
      <w:tr>
        <w:trPr>
          <w:cantSplit/>
        </w:trPr>
        <w:tc>
          <w:tcPr>
            <w:tcW w:type="pct" w:w="18%"/>
            <w:tcMar>
              <w:top w:type="dxa" w:w="40"/>
              <w:left w:type="dxa" w:w="0"/>
              <w:bottom w:type="dxa" w:w="40"/>
              <w:right w:type="dxa" w:w="100"/>
            </w:tcMar>
          </w:tcPr>
          <w:p>
            <w:pPr>
              <w:spacing w:after="0" w:line="276"/>
            </w:pPr>
            <w:r>
              <w:t xml:space="preserve">DOI</w:t>
            </w:r>
          </w:p>
        </w:tc>
        <w:tc>
          <w:tcPr>
            <w:tcW w:type="pct" w:w="82%"/>
            <w:tcMar>
              <w:top w:type="dxa" w:w="40"/>
              <w:left w:type="dxa" w:w="100"/>
              <w:bottom w:type="dxa" w:w="40"/>
              <w:right w:type="dxa" w:w="0"/>
            </w:tcMar>
          </w:tcPr>
          <w:p>
            <w:pPr>
              <w:spacing w:after="0" w:line="276"/>
              <w:jc w:val="both"/>
            </w:pPr>
            <w:r>
              <w:t xml:space="preserve">Digital Object Identifier (identifiant pérenne)</w:t>
            </w:r>
          </w:p>
        </w:tc>
      </w:tr>
      <w:tr>
        <w:trPr>
          <w:cantSplit/>
        </w:trPr>
        <w:tc>
          <w:tcPr>
            <w:tcW w:type="pct" w:w="18%"/>
            <w:tcMar>
              <w:top w:type="dxa" w:w="40"/>
              <w:left w:type="dxa" w:w="0"/>
              <w:bottom w:type="dxa" w:w="40"/>
              <w:right w:type="dxa" w:w="100"/>
            </w:tcMar>
          </w:tcPr>
          <w:p>
            <w:pPr>
              <w:spacing w:after="0" w:line="276"/>
            </w:pPr>
            <w:r>
              <w:t xml:space="preserve">DRDH</w:t>
            </w:r>
          </w:p>
        </w:tc>
        <w:tc>
          <w:tcPr>
            <w:tcW w:type="pct" w:w="82%"/>
            <w:tcMar>
              <w:top w:type="dxa" w:w="40"/>
              <w:left w:type="dxa" w:w="100"/>
              <w:bottom w:type="dxa" w:w="40"/>
              <w:right w:type="dxa" w:w="0"/>
            </w:tcMar>
          </w:tcPr>
          <w:p>
            <w:pPr>
              <w:spacing w:after="0" w:line="276"/>
              <w:jc w:val="both"/>
            </w:pPr>
            <w:r>
              <w:t xml:space="preserve">Direction des Recherches et Développement Hydrométéorologique (Météo Madagascar)</w:t>
            </w:r>
          </w:p>
        </w:tc>
      </w:tr>
      <w:tr>
        <w:trPr>
          <w:cantSplit/>
        </w:trPr>
        <w:tc>
          <w:tcPr>
            <w:tcW w:type="pct" w:w="18%"/>
            <w:tcMar>
              <w:top w:type="dxa" w:w="40"/>
              <w:left w:type="dxa" w:w="0"/>
              <w:bottom w:type="dxa" w:w="40"/>
              <w:right w:type="dxa" w:w="100"/>
            </w:tcMar>
          </w:tcPr>
          <w:p>
            <w:pPr>
              <w:spacing w:after="0" w:line="276"/>
            </w:pPr>
            <w:r>
              <w:t xml:space="preserve">ECDF</w:t>
            </w:r>
          </w:p>
        </w:tc>
        <w:tc>
          <w:tcPr>
            <w:tcW w:type="pct" w:w="82%"/>
            <w:tcMar>
              <w:top w:type="dxa" w:w="40"/>
              <w:left w:type="dxa" w:w="100"/>
              <w:bottom w:type="dxa" w:w="40"/>
              <w:right w:type="dxa" w:w="0"/>
            </w:tcMar>
          </w:tcPr>
          <w:p>
            <w:pPr>
              <w:spacing w:after="0" w:line="276"/>
              <w:jc w:val="both"/>
            </w:pPr>
            <w:r>
              <w:t xml:space="preserve">Empirical Cumulative Distribution Function (fonction de répartition empirique)</w:t>
            </w:r>
          </w:p>
        </w:tc>
      </w:tr>
      <w:tr>
        <w:trPr>
          <w:cantSplit/>
        </w:trPr>
        <w:tc>
          <w:tcPr>
            <w:tcW w:type="pct" w:w="18%"/>
            <w:tcMar>
              <w:top w:type="dxa" w:w="40"/>
              <w:left w:type="dxa" w:w="0"/>
              <w:bottom w:type="dxa" w:w="40"/>
              <w:right w:type="dxa" w:w="100"/>
            </w:tcMar>
          </w:tcPr>
          <w:p>
            <w:pPr>
              <w:spacing w:after="0" w:line="276"/>
            </w:pPr>
            <w:r>
              <w:t xml:space="preserve">ECN</w:t>
            </w:r>
          </w:p>
        </w:tc>
        <w:tc>
          <w:tcPr>
            <w:tcW w:type="pct" w:w="82%"/>
            <w:tcMar>
              <w:top w:type="dxa" w:w="40"/>
              <w:left w:type="dxa" w:w="100"/>
              <w:bottom w:type="dxa" w:w="40"/>
              <w:right w:type="dxa" w:w="0"/>
            </w:tcMar>
          </w:tcPr>
          <w:p>
            <w:pPr>
              <w:spacing w:after="0" w:line="276"/>
              <w:jc w:val="both"/>
            </w:pPr>
            <w:r>
              <w:t xml:space="preserve">Explicit Congestion Notification (notification explicite de congestion)</w:t>
            </w:r>
          </w:p>
        </w:tc>
      </w:tr>
      <w:tr>
        <w:trPr>
          <w:cantSplit/>
        </w:trPr>
        <w:tc>
          <w:tcPr>
            <w:tcW w:type="pct" w:w="18%"/>
            <w:tcMar>
              <w:top w:type="dxa" w:w="40"/>
              <w:left w:type="dxa" w:w="0"/>
              <w:bottom w:type="dxa" w:w="40"/>
              <w:right w:type="dxa" w:w="100"/>
            </w:tcMar>
          </w:tcPr>
          <w:p>
            <w:pPr>
              <w:spacing w:after="0" w:line="276"/>
            </w:pPr>
            <w:r>
              <w:t xml:space="preserve">EWMA</w:t>
            </w:r>
          </w:p>
        </w:tc>
        <w:tc>
          <w:tcPr>
            <w:tcW w:type="pct" w:w="82%"/>
            <w:tcMar>
              <w:top w:type="dxa" w:w="40"/>
              <w:left w:type="dxa" w:w="100"/>
              <w:bottom w:type="dxa" w:w="40"/>
              <w:right w:type="dxa" w:w="0"/>
            </w:tcMar>
          </w:tcPr>
          <w:p>
            <w:pPr>
              <w:spacing w:after="0" w:line="276"/>
              <w:jc w:val="both"/>
            </w:pPr>
            <w:r>
              <w:t xml:space="preserve">Exponentially Weighted Moving Average (moyenne mobile à pondération exponentielle)</w:t>
            </w:r>
          </w:p>
        </w:tc>
      </w:tr>
      <w:tr>
        <w:trPr>
          <w:cantSplit/>
        </w:trPr>
        <w:tc>
          <w:tcPr>
            <w:tcW w:type="pct" w:w="18%"/>
            <w:tcMar>
              <w:top w:type="dxa" w:w="40"/>
              <w:left w:type="dxa" w:w="0"/>
              <w:bottom w:type="dxa" w:w="40"/>
              <w:right w:type="dxa" w:w="100"/>
            </w:tcMar>
          </w:tcPr>
          <w:p>
            <w:pPr>
              <w:spacing w:after="0" w:line="276"/>
            </w:pPr>
            <w:r>
              <w:t xml:space="preserve">FP</w:t>
            </w:r>
          </w:p>
        </w:tc>
        <w:tc>
          <w:tcPr>
            <w:tcW w:type="pct" w:w="82%"/>
            <w:tcMar>
              <w:top w:type="dxa" w:w="40"/>
              <w:left w:type="dxa" w:w="100"/>
              <w:bottom w:type="dxa" w:w="40"/>
              <w:right w:type="dxa" w:w="0"/>
            </w:tcMar>
          </w:tcPr>
          <w:p>
            <w:pPr>
              <w:spacing w:after="0" w:line="276"/>
              <w:jc w:val="both"/>
            </w:pPr>
            <w:r>
              <w:t xml:space="preserve">Faux positif (fausse alarme de détection)</w:t>
            </w:r>
          </w:p>
        </w:tc>
      </w:tr>
      <w:tr>
        <w:trPr>
          <w:cantSplit/>
        </w:trPr>
        <w:tc>
          <w:tcPr>
            <w:tcW w:type="pct" w:w="18%"/>
            <w:tcMar>
              <w:top w:type="dxa" w:w="40"/>
              <w:left w:type="dxa" w:w="0"/>
              <w:bottom w:type="dxa" w:w="40"/>
              <w:right w:type="dxa" w:w="100"/>
            </w:tcMar>
          </w:tcPr>
          <w:p>
            <w:pPr>
              <w:spacing w:after="0" w:line="276"/>
            </w:pPr>
            <w:r>
              <w:t xml:space="preserve">IETF</w:t>
            </w:r>
          </w:p>
        </w:tc>
        <w:tc>
          <w:tcPr>
            <w:tcW w:type="pct" w:w="82%"/>
            <w:tcMar>
              <w:top w:type="dxa" w:w="40"/>
              <w:left w:type="dxa" w:w="100"/>
              <w:bottom w:type="dxa" w:w="40"/>
              <w:right w:type="dxa" w:w="0"/>
            </w:tcMar>
          </w:tcPr>
          <w:p>
            <w:pPr>
              <w:spacing w:after="0" w:line="276"/>
              <w:jc w:val="both"/>
            </w:pPr>
            <w:r>
              <w:t xml:space="preserve">Internet Engineering Task Force (organisme de normalisation)</w:t>
            </w:r>
          </w:p>
        </w:tc>
      </w:tr>
      <w:tr>
        <w:trPr>
          <w:cantSplit/>
        </w:trPr>
        <w:tc>
          <w:tcPr>
            <w:tcW w:type="pct" w:w="18%"/>
            <w:tcMar>
              <w:top w:type="dxa" w:w="40"/>
              <w:left w:type="dxa" w:w="0"/>
              <w:bottom w:type="dxa" w:w="40"/>
              <w:right w:type="dxa" w:w="100"/>
            </w:tcMar>
          </w:tcPr>
          <w:p>
            <w:pPr>
              <w:spacing w:after="0" w:line="276"/>
            </w:pPr>
            <w:r>
              <w:t xml:space="preserve">IQR</w:t>
            </w:r>
          </w:p>
        </w:tc>
        <w:tc>
          <w:tcPr>
            <w:tcW w:type="pct" w:w="82%"/>
            <w:tcMar>
              <w:top w:type="dxa" w:w="40"/>
              <w:left w:type="dxa" w:w="100"/>
              <w:bottom w:type="dxa" w:w="40"/>
              <w:right w:type="dxa" w:w="0"/>
            </w:tcMar>
          </w:tcPr>
          <w:p>
            <w:pPr>
              <w:spacing w:after="0" w:line="276"/>
              <w:jc w:val="both"/>
            </w:pPr>
            <w:r>
              <w:t xml:space="preserve">Interquartile Range (intervalle interquartile, P25 à P75)</w:t>
            </w:r>
          </w:p>
        </w:tc>
      </w:tr>
      <w:tr>
        <w:trPr>
          <w:cantSplit/>
        </w:trPr>
        <w:tc>
          <w:tcPr>
            <w:tcW w:type="pct" w:w="18%"/>
            <w:tcMar>
              <w:top w:type="dxa" w:w="40"/>
              <w:left w:type="dxa" w:w="0"/>
              <w:bottom w:type="dxa" w:w="40"/>
              <w:right w:type="dxa" w:w="100"/>
            </w:tcMar>
          </w:tcPr>
          <w:p>
            <w:pPr>
              <w:spacing w:after="0" w:line="276"/>
            </w:pPr>
            <w:r>
              <w:t xml:space="preserve">JIRAMA</w:t>
            </w:r>
          </w:p>
        </w:tc>
        <w:tc>
          <w:tcPr>
            <w:tcW w:type="pct" w:w="82%"/>
            <w:tcMar>
              <w:top w:type="dxa" w:w="40"/>
              <w:left w:type="dxa" w:w="100"/>
              <w:bottom w:type="dxa" w:w="40"/>
              <w:right w:type="dxa" w:w="0"/>
            </w:tcMar>
          </w:tcPr>
          <w:p>
            <w:pPr>
              <w:spacing w:after="0" w:line="276"/>
              <w:jc w:val="both"/>
            </w:pPr>
            <w:r>
              <w:t xml:space="preserve">Jiro sy Rano Malagasy (compagnie nationale d'eau et d'électricité)</w:t>
            </w:r>
          </w:p>
        </w:tc>
      </w:tr>
      <w:tr>
        <w:trPr>
          <w:cantSplit/>
        </w:trPr>
        <w:tc>
          <w:tcPr>
            <w:tcW w:type="pct" w:w="18%"/>
            <w:tcMar>
              <w:top w:type="dxa" w:w="40"/>
              <w:left w:type="dxa" w:w="0"/>
              <w:bottom w:type="dxa" w:w="40"/>
              <w:right w:type="dxa" w:w="100"/>
            </w:tcMar>
          </w:tcPr>
          <w:p>
            <w:pPr>
              <w:spacing w:after="0" w:line="276"/>
            </w:pPr>
            <w:r>
              <w:t xml:space="preserve">K-S</w:t>
            </w:r>
          </w:p>
        </w:tc>
        <w:tc>
          <w:tcPr>
            <w:tcW w:type="pct" w:w="82%"/>
            <w:tcMar>
              <w:top w:type="dxa" w:w="40"/>
              <w:left w:type="dxa" w:w="100"/>
              <w:bottom w:type="dxa" w:w="40"/>
              <w:right w:type="dxa" w:w="0"/>
            </w:tcMar>
          </w:tcPr>
          <w:p>
            <w:pPr>
              <w:spacing w:after="0" w:line="276"/>
              <w:jc w:val="both"/>
            </w:pPr>
            <w:r>
              <w:t xml:space="preserve">Kolmogorov-Smirnov (test statistique à deux échantillons)</w:t>
            </w:r>
          </w:p>
        </w:tc>
      </w:tr>
      <w:tr>
        <w:trPr>
          <w:cantSplit/>
        </w:trPr>
        <w:tc>
          <w:tcPr>
            <w:tcW w:type="pct" w:w="18%"/>
            <w:tcMar>
              <w:top w:type="dxa" w:w="40"/>
              <w:left w:type="dxa" w:w="0"/>
              <w:bottom w:type="dxa" w:w="40"/>
              <w:right w:type="dxa" w:w="100"/>
            </w:tcMar>
          </w:tcPr>
          <w:p>
            <w:pPr>
              <w:spacing w:after="0" w:line="276"/>
            </w:pPr>
            <w:r>
              <w:t xml:space="preserve">LEO</w:t>
            </w:r>
          </w:p>
        </w:tc>
        <w:tc>
          <w:tcPr>
            <w:tcW w:type="pct" w:w="82%"/>
            <w:tcMar>
              <w:top w:type="dxa" w:w="40"/>
              <w:left w:type="dxa" w:w="100"/>
              <w:bottom w:type="dxa" w:w="40"/>
              <w:right w:type="dxa" w:w="0"/>
            </w:tcMar>
          </w:tcPr>
          <w:p>
            <w:pPr>
              <w:spacing w:after="0" w:line="276"/>
              <w:jc w:val="both"/>
            </w:pPr>
            <w:r>
              <w:t xml:space="preserve">Low Earth Orbit (orbite terrestre basse)</w:t>
            </w:r>
          </w:p>
        </w:tc>
      </w:tr>
      <w:tr>
        <w:trPr>
          <w:cantSplit/>
        </w:trPr>
        <w:tc>
          <w:tcPr>
            <w:tcW w:type="pct" w:w="18%"/>
            <w:tcMar>
              <w:top w:type="dxa" w:w="40"/>
              <w:left w:type="dxa" w:w="0"/>
              <w:bottom w:type="dxa" w:w="40"/>
              <w:right w:type="dxa" w:w="100"/>
            </w:tcMar>
          </w:tcPr>
          <w:p>
            <w:pPr>
              <w:spacing w:after="0" w:line="276"/>
            </w:pPr>
            <w:r>
              <w:t xml:space="preserve">MGA</w:t>
            </w:r>
          </w:p>
        </w:tc>
        <w:tc>
          <w:tcPr>
            <w:tcW w:type="pct" w:w="82%"/>
            <w:tcMar>
              <w:top w:type="dxa" w:w="40"/>
              <w:left w:type="dxa" w:w="100"/>
              <w:bottom w:type="dxa" w:w="40"/>
              <w:right w:type="dxa" w:w="0"/>
            </w:tcMar>
          </w:tcPr>
          <w:p>
            <w:pPr>
              <w:spacing w:after="0" w:line="276"/>
              <w:jc w:val="both"/>
            </w:pPr>
            <w:r>
              <w:t xml:space="preserve">Malagasy Ariary (monnaie malgache, aussi notée Ar)</w:t>
            </w:r>
          </w:p>
        </w:tc>
      </w:tr>
      <w:tr>
        <w:trPr>
          <w:cantSplit/>
        </w:trPr>
        <w:tc>
          <w:tcPr>
            <w:tcW w:type="pct" w:w="18%"/>
            <w:tcMar>
              <w:top w:type="dxa" w:w="40"/>
              <w:left w:type="dxa" w:w="0"/>
              <w:bottom w:type="dxa" w:w="40"/>
              <w:right w:type="dxa" w:w="100"/>
            </w:tcMar>
          </w:tcPr>
          <w:p>
            <w:pPr>
              <w:spacing w:after="0" w:line="276"/>
            </w:pPr>
            <w:r>
              <w:t xml:space="preserve">MTM</w:t>
            </w:r>
          </w:p>
        </w:tc>
        <w:tc>
          <w:tcPr>
            <w:tcW w:type="pct" w:w="82%"/>
            <w:tcMar>
              <w:top w:type="dxa" w:w="40"/>
              <w:left w:type="dxa" w:w="100"/>
              <w:bottom w:type="dxa" w:w="40"/>
              <w:right w:type="dxa" w:w="0"/>
            </w:tcMar>
          </w:tcPr>
          <w:p>
            <w:pPr>
              <w:spacing w:after="0" w:line="276"/>
              <w:jc w:val="both"/>
            </w:pPr>
            <w:r>
              <w:t xml:space="preserve">Ministère des Transports et de la Météorologie (tutelle de la DGM)</w:t>
            </w:r>
          </w:p>
        </w:tc>
      </w:tr>
      <w:tr>
        <w:trPr>
          <w:cantSplit/>
        </w:trPr>
        <w:tc>
          <w:tcPr>
            <w:tcW w:type="pct" w:w="18%"/>
            <w:tcMar>
              <w:top w:type="dxa" w:w="40"/>
              <w:left w:type="dxa" w:w="0"/>
              <w:bottom w:type="dxa" w:w="40"/>
              <w:right w:type="dxa" w:w="100"/>
            </w:tcMar>
          </w:tcPr>
          <w:p>
            <w:pPr>
              <w:spacing w:after="0" w:line="276"/>
            </w:pPr>
            <w:r>
              <w:t xml:space="preserve">NAT</w:t>
            </w:r>
          </w:p>
        </w:tc>
        <w:tc>
          <w:tcPr>
            <w:tcW w:type="pct" w:w="82%"/>
            <w:tcMar>
              <w:top w:type="dxa" w:w="40"/>
              <w:left w:type="dxa" w:w="100"/>
              <w:bottom w:type="dxa" w:w="40"/>
              <w:right w:type="dxa" w:w="0"/>
            </w:tcMar>
          </w:tcPr>
          <w:p>
            <w:pPr>
              <w:spacing w:after="0" w:line="276"/>
              <w:jc w:val="both"/>
            </w:pPr>
            <w:r>
              <w:t xml:space="preserve">Network Address Translation (translation d'adresses)</w:t>
            </w:r>
          </w:p>
        </w:tc>
      </w:tr>
      <w:tr>
        <w:trPr>
          <w:cantSplit/>
        </w:trPr>
        <w:tc>
          <w:tcPr>
            <w:tcW w:type="pct" w:w="18%"/>
            <w:tcMar>
              <w:top w:type="dxa" w:w="40"/>
              <w:left w:type="dxa" w:w="0"/>
              <w:bottom w:type="dxa" w:w="40"/>
              <w:right w:type="dxa" w:w="100"/>
            </w:tcMar>
          </w:tcPr>
          <w:p>
            <w:pPr>
              <w:spacing w:after="0" w:line="276"/>
            </w:pPr>
            <w:r>
              <w:t xml:space="preserve">netem</w:t>
            </w:r>
          </w:p>
        </w:tc>
        <w:tc>
          <w:tcPr>
            <w:tcW w:type="pct" w:w="82%"/>
            <w:tcMar>
              <w:top w:type="dxa" w:w="40"/>
              <w:left w:type="dxa" w:w="100"/>
              <w:bottom w:type="dxa" w:w="40"/>
              <w:right w:type="dxa" w:w="0"/>
            </w:tcMar>
          </w:tcPr>
          <w:p>
            <w:pPr>
              <w:spacing w:after="0" w:line="276"/>
              <w:jc w:val="both"/>
            </w:pPr>
            <w:r>
              <w:t xml:space="preserve">Network Emulator (émulateur de lien du noyau Linux)</w:t>
            </w:r>
          </w:p>
        </w:tc>
      </w:tr>
      <w:tr>
        <w:trPr>
          <w:cantSplit/>
        </w:trPr>
        <w:tc>
          <w:tcPr>
            <w:tcW w:type="pct" w:w="18%"/>
            <w:tcMar>
              <w:top w:type="dxa" w:w="40"/>
              <w:left w:type="dxa" w:w="0"/>
              <w:bottom w:type="dxa" w:w="40"/>
              <w:right w:type="dxa" w:w="100"/>
            </w:tcMar>
          </w:tcPr>
          <w:p>
            <w:pPr>
              <w:spacing w:after="0" w:line="276"/>
            </w:pPr>
            <w:r>
              <w:t xml:space="preserve">ns</w:t>
            </w:r>
          </w:p>
        </w:tc>
        <w:tc>
          <w:tcPr>
            <w:tcW w:type="pct" w:w="82%"/>
            <w:tcMar>
              <w:top w:type="dxa" w:w="40"/>
              <w:left w:type="dxa" w:w="100"/>
              <w:bottom w:type="dxa" w:w="40"/>
              <w:right w:type="dxa" w:w="0"/>
            </w:tcMar>
          </w:tcPr>
          <w:p>
            <w:pPr>
              <w:spacing w:after="0" w:line="276"/>
              <w:jc w:val="both"/>
            </w:pPr>
            <w:r>
              <w:t xml:space="preserve">Network namespace (espace de noms réseau Linux)</w:t>
            </w:r>
          </w:p>
        </w:tc>
      </w:tr>
      <w:tr>
        <w:trPr>
          <w:cantSplit/>
        </w:trPr>
        <w:tc>
          <w:tcPr>
            <w:tcW w:type="pct" w:w="18%"/>
            <w:tcMar>
              <w:top w:type="dxa" w:w="40"/>
              <w:left w:type="dxa" w:w="0"/>
              <w:bottom w:type="dxa" w:w="40"/>
              <w:right w:type="dxa" w:w="100"/>
            </w:tcMar>
          </w:tcPr>
          <w:p>
            <w:pPr>
              <w:spacing w:after="0" w:line="276"/>
            </w:pPr>
            <w:r>
              <w:t xml:space="preserve">OMM</w:t>
            </w:r>
          </w:p>
        </w:tc>
        <w:tc>
          <w:tcPr>
            <w:tcW w:type="pct" w:w="82%"/>
            <w:tcMar>
              <w:top w:type="dxa" w:w="40"/>
              <w:left w:type="dxa" w:w="100"/>
              <w:bottom w:type="dxa" w:w="40"/>
              <w:right w:type="dxa" w:w="0"/>
            </w:tcMar>
          </w:tcPr>
          <w:p>
            <w:pPr>
              <w:spacing w:after="0" w:line="276"/>
              <w:jc w:val="both"/>
            </w:pPr>
            <w:r>
              <w:t xml:space="preserve">Organisation Météorologique Mondiale</w:t>
            </w:r>
          </w:p>
        </w:tc>
      </w:tr>
      <w:tr>
        <w:trPr>
          <w:cantSplit/>
        </w:trPr>
        <w:tc>
          <w:tcPr>
            <w:tcW w:type="pct" w:w="18%"/>
            <w:tcMar>
              <w:top w:type="dxa" w:w="40"/>
              <w:left w:type="dxa" w:w="0"/>
              <w:bottom w:type="dxa" w:w="40"/>
              <w:right w:type="dxa" w:w="100"/>
            </w:tcMar>
          </w:tcPr>
          <w:p>
            <w:pPr>
              <w:spacing w:after="0" w:line="276"/>
            </w:pPr>
            <w:r>
              <w:t xml:space="preserve">P95</w:t>
            </w:r>
          </w:p>
        </w:tc>
        <w:tc>
          <w:tcPr>
            <w:tcW w:type="pct" w:w="82%"/>
            <w:tcMar>
              <w:top w:type="dxa" w:w="40"/>
              <w:left w:type="dxa" w:w="100"/>
              <w:bottom w:type="dxa" w:w="40"/>
              <w:right w:type="dxa" w:w="0"/>
            </w:tcMar>
          </w:tcPr>
          <w:p>
            <w:pPr>
              <w:spacing w:after="0" w:line="276"/>
              <w:jc w:val="both"/>
            </w:pPr>
            <w:r>
              <w:t xml:space="preserve">95e percentile d'une distribution</w:t>
            </w:r>
          </w:p>
        </w:tc>
      </w:tr>
      <w:tr>
        <w:trPr>
          <w:cantSplit/>
        </w:trPr>
        <w:tc>
          <w:tcPr>
            <w:tcW w:type="pct" w:w="18%"/>
            <w:tcMar>
              <w:top w:type="dxa" w:w="40"/>
              <w:left w:type="dxa" w:w="0"/>
              <w:bottom w:type="dxa" w:w="40"/>
              <w:right w:type="dxa" w:w="100"/>
            </w:tcMar>
          </w:tcPr>
          <w:p>
            <w:pPr>
              <w:spacing w:after="0" w:line="276"/>
            </w:pPr>
            <w:r>
              <w:t xml:space="preserve">QDI</w:t>
            </w:r>
          </w:p>
        </w:tc>
        <w:tc>
          <w:tcPr>
            <w:tcW w:type="pct" w:w="82%"/>
            <w:tcMar>
              <w:top w:type="dxa" w:w="40"/>
              <w:left w:type="dxa" w:w="100"/>
              <w:bottom w:type="dxa" w:w="40"/>
              <w:right w:type="dxa" w:w="0"/>
            </w:tcMar>
          </w:tcPr>
          <w:p>
            <w:pPr>
              <w:spacing w:after="0" w:line="276"/>
              <w:jc w:val="both"/>
            </w:pPr>
            <w:r>
              <w:t xml:space="preserve">Queue Delay Increase (augmentation du délai de file, métrique principale de E3)</w:t>
            </w:r>
          </w:p>
        </w:tc>
      </w:tr>
      <w:tr>
        <w:trPr>
          <w:cantSplit/>
        </w:trPr>
        <w:tc>
          <w:tcPr>
            <w:tcW w:type="pct" w:w="18%"/>
            <w:tcMar>
              <w:top w:type="dxa" w:w="40"/>
              <w:left w:type="dxa" w:w="0"/>
              <w:bottom w:type="dxa" w:w="40"/>
              <w:right w:type="dxa" w:w="100"/>
            </w:tcMar>
          </w:tcPr>
          <w:p>
            <w:pPr>
              <w:spacing w:after="0" w:line="276"/>
            </w:pPr>
            <w:r>
              <w:t xml:space="preserve">qdisc</w:t>
            </w:r>
          </w:p>
        </w:tc>
        <w:tc>
          <w:tcPr>
            <w:tcW w:type="pct" w:w="82%"/>
            <w:tcMar>
              <w:top w:type="dxa" w:w="40"/>
              <w:left w:type="dxa" w:w="100"/>
              <w:bottom w:type="dxa" w:w="40"/>
              <w:right w:type="dxa" w:w="0"/>
            </w:tcMar>
          </w:tcPr>
          <w:p>
            <w:pPr>
              <w:spacing w:after="0" w:line="276"/>
              <w:jc w:val="both"/>
            </w:pPr>
            <w:r>
              <w:t xml:space="preserve">Queueing discipline (discipline de file du noyau Linux)</w:t>
            </w:r>
          </w:p>
        </w:tc>
      </w:tr>
      <w:tr>
        <w:trPr>
          <w:cantSplit/>
        </w:trPr>
        <w:tc>
          <w:tcPr>
            <w:tcW w:type="pct" w:w="18%"/>
            <w:tcMar>
              <w:top w:type="dxa" w:w="40"/>
              <w:left w:type="dxa" w:w="0"/>
              <w:bottom w:type="dxa" w:w="40"/>
              <w:right w:type="dxa" w:w="100"/>
            </w:tcMar>
          </w:tcPr>
          <w:p>
            <w:pPr>
              <w:spacing w:after="0" w:line="276"/>
            </w:pPr>
            <w:r>
              <w:t xml:space="preserve">RQ</w:t>
            </w:r>
          </w:p>
        </w:tc>
        <w:tc>
          <w:tcPr>
            <w:tcW w:type="pct" w:w="82%"/>
            <w:tcMar>
              <w:top w:type="dxa" w:w="40"/>
              <w:left w:type="dxa" w:w="100"/>
              <w:bottom w:type="dxa" w:w="40"/>
              <w:right w:type="dxa" w:w="0"/>
            </w:tcMar>
          </w:tcPr>
          <w:p>
            <w:pPr>
              <w:spacing w:after="0" w:line="276"/>
              <w:jc w:val="both"/>
            </w:pPr>
            <w:r>
              <w:t xml:space="preserve">Research Question (question de recherche)</w:t>
            </w:r>
          </w:p>
        </w:tc>
      </w:tr>
      <w:tr>
        <w:trPr>
          <w:cantSplit/>
        </w:trPr>
        <w:tc>
          <w:tcPr>
            <w:tcW w:type="pct" w:w="18%"/>
            <w:tcMar>
              <w:top w:type="dxa" w:w="40"/>
              <w:left w:type="dxa" w:w="0"/>
              <w:bottom w:type="dxa" w:w="40"/>
              <w:right w:type="dxa" w:w="100"/>
            </w:tcMar>
          </w:tcPr>
          <w:p>
            <w:pPr>
              <w:spacing w:after="0" w:line="276"/>
            </w:pPr>
            <w:r>
              <w:t xml:space="preserve">RTT</w:t>
            </w:r>
          </w:p>
        </w:tc>
        <w:tc>
          <w:tcPr>
            <w:tcW w:type="pct" w:w="82%"/>
            <w:tcMar>
              <w:top w:type="dxa" w:w="40"/>
              <w:left w:type="dxa" w:w="100"/>
              <w:bottom w:type="dxa" w:w="40"/>
              <w:right w:type="dxa" w:w="0"/>
            </w:tcMar>
          </w:tcPr>
          <w:p>
            <w:pPr>
              <w:spacing w:after="0" w:line="276"/>
              <w:jc w:val="both"/>
            </w:pPr>
            <w:r>
              <w:t xml:space="preserve">Round-Trip Time (temps d'aller-retour)</w:t>
            </w:r>
          </w:p>
        </w:tc>
      </w:tr>
      <w:tr>
        <w:trPr>
          <w:cantSplit/>
        </w:trPr>
        <w:tc>
          <w:tcPr>
            <w:tcW w:type="pct" w:w="18%"/>
            <w:tcMar>
              <w:top w:type="dxa" w:w="40"/>
              <w:left w:type="dxa" w:w="0"/>
              <w:bottom w:type="dxa" w:w="40"/>
              <w:right w:type="dxa" w:w="100"/>
            </w:tcMar>
          </w:tcPr>
          <w:p>
            <w:pPr>
              <w:spacing w:after="0" w:line="276"/>
            </w:pPr>
            <w:r>
              <w:t xml:space="preserve">SHA-256</w:t>
            </w:r>
          </w:p>
        </w:tc>
        <w:tc>
          <w:tcPr>
            <w:tcW w:type="pct" w:w="82%"/>
            <w:tcMar>
              <w:top w:type="dxa" w:w="40"/>
              <w:left w:type="dxa" w:w="100"/>
              <w:bottom w:type="dxa" w:w="40"/>
              <w:right w:type="dxa" w:w="0"/>
            </w:tcMar>
          </w:tcPr>
          <w:p>
            <w:pPr>
              <w:spacing w:after="0" w:line="276"/>
              <w:jc w:val="both"/>
            </w:pPr>
            <w:r>
              <w:t xml:space="preserve">Secure Hash Algorithm 256 bits (fonction de condensat)</w:t>
            </w:r>
          </w:p>
        </w:tc>
      </w:tr>
      <w:tr>
        <w:trPr>
          <w:cantSplit/>
        </w:trPr>
        <w:tc>
          <w:tcPr>
            <w:tcW w:type="pct" w:w="18%"/>
            <w:tcMar>
              <w:top w:type="dxa" w:w="40"/>
              <w:left w:type="dxa" w:w="0"/>
              <w:bottom w:type="dxa" w:w="40"/>
              <w:right w:type="dxa" w:w="100"/>
            </w:tcMar>
          </w:tcPr>
          <w:p>
            <w:pPr>
              <w:spacing w:after="0" w:line="276"/>
            </w:pPr>
            <w:r>
              <w:t xml:space="preserve">SMHN</w:t>
            </w:r>
          </w:p>
        </w:tc>
        <w:tc>
          <w:tcPr>
            <w:tcW w:type="pct" w:w="82%"/>
            <w:tcMar>
              <w:top w:type="dxa" w:w="40"/>
              <w:left w:type="dxa" w:w="100"/>
              <w:bottom w:type="dxa" w:w="40"/>
              <w:right w:type="dxa" w:w="0"/>
            </w:tcMar>
          </w:tcPr>
          <w:p>
            <w:pPr>
              <w:spacing w:after="0" w:line="276"/>
              <w:jc w:val="both"/>
            </w:pPr>
            <w:r>
              <w:t xml:space="preserve">Service Météorologique et Hydrologique National (ancêtre de la DGM, 1901)</w:t>
            </w:r>
          </w:p>
        </w:tc>
      </w:tr>
      <w:tr>
        <w:trPr>
          <w:cantSplit/>
        </w:trPr>
        <w:tc>
          <w:tcPr>
            <w:tcW w:type="pct" w:w="18%"/>
            <w:tcMar>
              <w:top w:type="dxa" w:w="40"/>
              <w:left w:type="dxa" w:w="0"/>
              <w:bottom w:type="dxa" w:w="40"/>
              <w:right w:type="dxa" w:w="100"/>
            </w:tcMar>
          </w:tcPr>
          <w:p>
            <w:pPr>
              <w:spacing w:after="0" w:line="276"/>
            </w:pPr>
            <w:r>
              <w:t xml:space="preserve">SQM</w:t>
            </w:r>
          </w:p>
        </w:tc>
        <w:tc>
          <w:tcPr>
            <w:tcW w:type="pct" w:w="82%"/>
            <w:tcMar>
              <w:top w:type="dxa" w:w="40"/>
              <w:left w:type="dxa" w:w="100"/>
              <w:bottom w:type="dxa" w:w="40"/>
              <w:right w:type="dxa" w:w="0"/>
            </w:tcMar>
          </w:tcPr>
          <w:p>
            <w:pPr>
              <w:spacing w:after="0" w:line="276"/>
              <w:jc w:val="both"/>
            </w:pPr>
            <w:r>
              <w:t xml:space="preserve">Smart Queue Management (gestion intelligente de file, OpenWrt)</w:t>
            </w:r>
          </w:p>
        </w:tc>
      </w:tr>
      <w:tr>
        <w:trPr>
          <w:cantSplit/>
        </w:trPr>
        <w:tc>
          <w:tcPr>
            <w:tcW w:type="pct" w:w="18%"/>
            <w:tcMar>
              <w:top w:type="dxa" w:w="40"/>
              <w:left w:type="dxa" w:w="0"/>
              <w:bottom w:type="dxa" w:w="40"/>
              <w:right w:type="dxa" w:w="100"/>
            </w:tcMar>
          </w:tcPr>
          <w:p>
            <w:pPr>
              <w:spacing w:after="0" w:line="276"/>
            </w:pPr>
            <w:r>
              <w:t xml:space="preserve">TBF</w:t>
            </w:r>
          </w:p>
        </w:tc>
        <w:tc>
          <w:tcPr>
            <w:tcW w:type="pct" w:w="82%"/>
            <w:tcMar>
              <w:top w:type="dxa" w:w="40"/>
              <w:left w:type="dxa" w:w="100"/>
              <w:bottom w:type="dxa" w:w="40"/>
              <w:right w:type="dxa" w:w="0"/>
            </w:tcMar>
          </w:tcPr>
          <w:p>
            <w:pPr>
              <w:spacing w:after="0" w:line="276"/>
              <w:jc w:val="both"/>
            </w:pPr>
            <w:r>
              <w:t xml:space="preserve">Token Bucket Filter (limiteur de débit à seau de jetons)</w:t>
            </w:r>
          </w:p>
        </w:tc>
      </w:tr>
      <w:tr>
        <w:trPr>
          <w:cantSplit/>
        </w:trPr>
        <w:tc>
          <w:tcPr>
            <w:tcW w:type="pct" w:w="18%"/>
            <w:tcMar>
              <w:top w:type="dxa" w:w="40"/>
              <w:left w:type="dxa" w:w="0"/>
              <w:bottom w:type="dxa" w:w="40"/>
              <w:right w:type="dxa" w:w="100"/>
            </w:tcMar>
          </w:tcPr>
          <w:p>
            <w:pPr>
              <w:spacing w:after="0" w:line="276"/>
            </w:pPr>
            <w:r>
              <w:t xml:space="preserve">TCP</w:t>
            </w:r>
          </w:p>
        </w:tc>
        <w:tc>
          <w:tcPr>
            <w:tcW w:type="pct" w:w="82%"/>
            <w:tcMar>
              <w:top w:type="dxa" w:w="40"/>
              <w:left w:type="dxa" w:w="100"/>
              <w:bottom w:type="dxa" w:w="40"/>
              <w:right w:type="dxa" w:w="0"/>
            </w:tcMar>
          </w:tcPr>
          <w:p>
            <w:pPr>
              <w:spacing w:after="0" w:line="276"/>
              <w:jc w:val="both"/>
            </w:pPr>
            <w:r>
              <w:t xml:space="preserve">Transmission Control Protocol</w:t>
            </w:r>
          </w:p>
        </w:tc>
      </w:tr>
      <w:tr>
        <w:trPr>
          <w:cantSplit/>
        </w:trPr>
        <w:tc>
          <w:tcPr>
            <w:tcW w:type="pct" w:w="18%"/>
            <w:tcMar>
              <w:top w:type="dxa" w:w="40"/>
              <w:left w:type="dxa" w:w="0"/>
              <w:bottom w:type="dxa" w:w="40"/>
              <w:right w:type="dxa" w:w="100"/>
            </w:tcMar>
          </w:tcPr>
          <w:p>
            <w:pPr>
              <w:spacing w:after="0" w:line="276"/>
            </w:pPr>
            <w:r>
              <w:t xml:space="preserve">TTB</w:t>
            </w:r>
          </w:p>
        </w:tc>
        <w:tc>
          <w:tcPr>
            <w:tcW w:type="pct" w:w="82%"/>
            <w:tcMar>
              <w:top w:type="dxa" w:w="40"/>
              <w:left w:type="dxa" w:w="100"/>
              <w:bottom w:type="dxa" w:w="40"/>
              <w:right w:type="dxa" w:w="0"/>
            </w:tcMar>
          </w:tcPr>
          <w:p>
            <w:pPr>
              <w:spacing w:after="0" w:line="276"/>
              <w:jc w:val="both"/>
            </w:pPr>
            <w:r>
              <w:t xml:space="preserve">Time To Baseline (temps de retour à la référence)</w:t>
            </w:r>
          </w:p>
        </w:tc>
      </w:tr>
      <w:tr>
        <w:trPr>
          <w:cantSplit/>
        </w:trPr>
        <w:tc>
          <w:tcPr>
            <w:tcW w:type="pct" w:w="18%"/>
            <w:tcMar>
              <w:top w:type="dxa" w:w="40"/>
              <w:left w:type="dxa" w:w="0"/>
              <w:bottom w:type="dxa" w:w="40"/>
              <w:right w:type="dxa" w:w="100"/>
            </w:tcMar>
          </w:tcPr>
          <w:p>
            <w:pPr>
              <w:spacing w:after="0" w:line="276"/>
            </w:pPr>
            <w:r>
              <w:t xml:space="preserve">UDP</w:t>
            </w:r>
          </w:p>
        </w:tc>
        <w:tc>
          <w:tcPr>
            <w:tcW w:type="pct" w:w="82%"/>
            <w:tcMar>
              <w:top w:type="dxa" w:w="40"/>
              <w:left w:type="dxa" w:w="100"/>
              <w:bottom w:type="dxa" w:w="40"/>
              <w:right w:type="dxa" w:w="0"/>
            </w:tcMar>
          </w:tcPr>
          <w:p>
            <w:pPr>
              <w:spacing w:after="0" w:line="276"/>
              <w:jc w:val="both"/>
            </w:pPr>
            <w:r>
              <w:t xml:space="preserve">User Datagram Protocol</w:t>
            </w:r>
          </w:p>
        </w:tc>
      </w:tr>
      <w:tr>
        <w:trPr>
          <w:cantSplit/>
        </w:trPr>
        <w:tc>
          <w:tcPr>
            <w:tcW w:type="pct" w:w="18%"/>
            <w:tcMar>
              <w:top w:type="dxa" w:w="40"/>
              <w:left w:type="dxa" w:w="0"/>
              <w:bottom w:type="dxa" w:w="40"/>
              <w:right w:type="dxa" w:w="100"/>
            </w:tcMar>
          </w:tcPr>
          <w:p>
            <w:pPr>
              <w:spacing w:after="0" w:line="276"/>
            </w:pPr>
            <w:r>
              <w:t xml:space="preserve">veth</w:t>
            </w:r>
          </w:p>
        </w:tc>
        <w:tc>
          <w:tcPr>
            <w:tcW w:type="pct" w:w="82%"/>
            <w:tcMar>
              <w:top w:type="dxa" w:w="40"/>
              <w:left w:type="dxa" w:w="100"/>
              <w:bottom w:type="dxa" w:w="40"/>
              <w:right w:type="dxa" w:w="0"/>
            </w:tcMar>
          </w:tcPr>
          <w:p>
            <w:pPr>
              <w:spacing w:after="0" w:line="276"/>
              <w:jc w:val="both"/>
            </w:pPr>
            <w:r>
              <w:t xml:space="preserve">Virtual Ethernet (paire d'interfaces virtuelles Linux)</w:t>
            </w:r>
          </w:p>
        </w:tc>
      </w:tr>
      <w:tr>
        <w:trPr>
          <w:cantSplit/>
        </w:trPr>
        <w:tc>
          <w:tcPr>
            <w:tcW w:type="pct" w:w="18%"/>
            <w:tcMar>
              <w:top w:type="dxa" w:w="40"/>
              <w:left w:type="dxa" w:w="0"/>
              <w:bottom w:type="dxa" w:w="40"/>
              <w:right w:type="dxa" w:w="100"/>
            </w:tcMar>
          </w:tcPr>
          <w:p>
            <w:pPr>
              <w:spacing w:after="0" w:line="276"/>
            </w:pPr>
            <w:r>
              <w:t xml:space="preserve">VoIP</w:t>
            </w:r>
          </w:p>
        </w:tc>
        <w:tc>
          <w:tcPr>
            <w:tcW w:type="pct" w:w="82%"/>
            <w:tcMar>
              <w:top w:type="dxa" w:w="40"/>
              <w:left w:type="dxa" w:w="100"/>
              <w:bottom w:type="dxa" w:w="40"/>
              <w:right w:type="dxa" w:w="0"/>
            </w:tcMar>
          </w:tcPr>
          <w:p>
            <w:pPr>
              <w:spacing w:after="0" w:line="276"/>
              <w:jc w:val="both"/>
            </w:pPr>
            <w:r>
              <w:t xml:space="preserve">Voice over IP (voix sur IP)</w:t>
            </w:r>
          </w:p>
        </w:tc>
      </w:tr>
      <w:tr>
        <w:trPr>
          <w:cantSplit/>
        </w:trPr>
        <w:tc>
          <w:tcPr>
            <w:tcW w:type="pct" w:w="18%"/>
            <w:tcMar>
              <w:top w:type="dxa" w:w="40"/>
              <w:left w:type="dxa" w:w="0"/>
              <w:bottom w:type="dxa" w:w="40"/>
              <w:right w:type="dxa" w:w="100"/>
            </w:tcMar>
          </w:tcPr>
          <w:p>
            <w:pPr>
              <w:spacing w:after="0" w:line="276"/>
            </w:pPr>
            <w:r>
              <w:t xml:space="preserve">VSAT</w:t>
            </w:r>
          </w:p>
        </w:tc>
        <w:tc>
          <w:tcPr>
            <w:tcW w:type="pct" w:w="82%"/>
            <w:tcMar>
              <w:top w:type="dxa" w:w="40"/>
              <w:left w:type="dxa" w:w="100"/>
              <w:bottom w:type="dxa" w:w="40"/>
              <w:right w:type="dxa" w:w="0"/>
            </w:tcMar>
          </w:tcPr>
          <w:p>
            <w:pPr>
              <w:spacing w:after="0" w:line="276"/>
              <w:jc w:val="both"/>
            </w:pPr>
            <w:r>
              <w:t xml:space="preserve">Very Small Aperture Terminal (terminal satellite)</w:t>
            </w:r>
          </w:p>
        </w:tc>
      </w:tr>
      <w:tr>
        <w:trPr>
          <w:cantSplit/>
        </w:trPr>
        <w:tc>
          <w:tcPr>
            <w:tcW w:type="pct" w:w="18%"/>
            <w:tcMar>
              <w:top w:type="dxa" w:w="40"/>
              <w:left w:type="dxa" w:w="0"/>
              <w:bottom w:type="dxa" w:w="40"/>
              <w:right w:type="dxa" w:w="100"/>
            </w:tcMar>
          </w:tcPr>
          <w:p>
            <w:pPr>
              <w:spacing w:after="0" w:line="276"/>
            </w:pPr>
            <w:r>
              <w:t xml:space="preserve">YAML</w:t>
            </w:r>
          </w:p>
        </w:tc>
        <w:tc>
          <w:tcPr>
            <w:tcW w:type="pct" w:w="82%"/>
            <w:tcMar>
              <w:top w:type="dxa" w:w="40"/>
              <w:left w:type="dxa" w:w="100"/>
              <w:bottom w:type="dxa" w:w="40"/>
              <w:right w:type="dxa" w:w="0"/>
            </w:tcMar>
          </w:tcPr>
          <w:p>
            <w:pPr>
              <w:spacing w:after="0" w:line="276"/>
              <w:jc w:val="both"/>
            </w:pPr>
            <w:r>
              <w:t xml:space="preserve">YAML Ain't Markup Language (format de configuration)</w:t>
            </w:r>
          </w:p>
        </w:tc>
      </w:tr>
    </w:tbl>
    <w:p>
      <w:pPr>
        <w:pStyle w:val="Heading1"/>
        <w:pageBreakBefore/>
        <w:spacing w:after="360" w:before="0" w:line="360"/>
        <w:jc w:val="center"/>
      </w:pPr>
      <w: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pPr>
        <w:pStyle w:val="Heading1"/>
        <w:pageBreakBefore/>
        <w:spacing w:after="360" w:before="0" w:line="360"/>
        <w:jc w:val="center"/>
      </w:pPr>
      <w:r>
        <w:t xml:space="preserve">LISTE DES FIGURES</w:t>
      </w:r>
    </w:p>
    <w:p>
      <w:fldSimple w:instr="TOC \h \z \c &quot;Figure&quot;">
        <w:r>
          <w:t xml:space="preserve"/>
        </w:r>
      </w:fldSimple>
    </w:p>
    <w:p>
      <w:pPr>
        <w:pStyle w:val="Heading1"/>
        <w:pageBreakBefore/>
        <w:spacing w:after="360" w:before="0" w:line="360"/>
        <w:jc w:val="center"/>
      </w:pPr>
      <w:r>
        <w:t xml:space="preserve">LISTE DES TABLEAUX</w:t>
      </w:r>
    </w:p>
    <w:p>
      <w:fldSimple w:instr="TOC \h \z \c &quot;Tableau&quot;">
        <w:r>
          <w:t xml:space="preserve"/>
        </w:r>
      </w:fldSimple>
    </w:p>
    <w:p>
      <w:pPr>
        <w:sectPr>
          <w:footerReference w:type="default" r:id="rId7"/>
          <w:pgSz w:w="11906" w:h="16838" w:orient="portrait"/>
          <w:pgMar w:top="1417" w:right="1417" w:bottom="1417" w:left="1417" w:header="708" w:footer="708" w:gutter="0"/>
          <w:pgNumType w:start="1" w:fmt="lowerRoman"/>
          <w:docGrid w:linePitch="360"/>
        </w:sectPr>
      </w:pPr>
    </w:p>
    <w:p>
      <w:pPr>
        <w:pStyle w:val="Heading1"/>
        <w:pageBreakBefore/>
        <w:spacing w:after="360" w:before="0" w:line="360"/>
        <w:jc w:val="center"/>
      </w:pPr>
      <w:r>
        <w:t xml:space="preserve">INTRODUCTION GÉNÉRALE</w:t>
      </w:r>
    </w:p>
    <w:p>
      <w:pPr>
        <w:spacing w:after="0" w:line="360"/>
        <w:ind w:firstLine="709"/>
        <w:jc w:val="both"/>
      </w:pPr>
      <w:r>
        <w:t xml:space="preserve">Les liens d'accès à l'Internet à Madagascar cumulent trois propriétés rarement réunies dans les bancs d'essai publiés : un temps de propagation élevé et variable (de 50 à 600 ms selon la technologie), une capacité qui s'effondre de manière prévisible aux heures de pointe (perte de 50 à 80 % du débit nominal), et un coût par octet qui rend la mesure du gaspillage économiquement signifiante. La littérature existante mesure ces liens sans vérité terrain : on observe des symptômes (latence élevée, pertes) sans pouvoir les rattacher à des événements causes datés avec précision. Ce fossé constitue le point de départ du travail.</w:t>
      </w:r>
    </w:p>
    <w:p>
      <w:pPr>
        <w:spacing w:after="0" w:line="360"/>
        <w:ind w:firstLine="709"/>
        <w:jc w:val="both"/>
      </w:pPr>
      <w:r>
        <w:t xml:space="preserve">Le phénomène central étudié est le bufferbloat, cette accumulation persistante de paquets dans des files d'attente surdimensionnées qui ajoute des centaines de millisecondes de délai sans provoquer de perte visible. Identifié et nommé au début des années 2010, le bufferbloat reste largement invisible aux métriques usuelles : le débit et le taux de perte ne le capturent pas, seule la latence sous charge le révèle. Sur un lien malgache, ses conséquences sont doubles : une dégradation de l'expérience interactive (navigation, visioconférence, voix sur IP) et un gaspillage de retransmissions qui se paie en ariary, puisque chaque octet transmis sur un forfait prépayé a été acheté. Mesurer ce phénomène avec rigueur sur cette classe de liens exige un instrument que la littérature ne fournit pas.</w:t>
      </w:r>
    </w:p>
    <w:p>
      <w:pPr>
        <w:spacing w:after="0" w:line="360"/>
        <w:ind w:firstLine="709"/>
        <w:jc w:val="both"/>
      </w:pPr>
      <w:r>
        <w:t xml:space="preserve">Ce mémoire propose l'observatoire CGO (Congestion Ground-truth Observatory), un instrument de mesure expérimentale qui referme cet écart en fournissant une vérité terrain connue par construction. L'instrument repose sur une émulation contrôlée : un ordonnanceur rejoue des baisses de capacité programmées sur un lien façonné par le noyau Linux, pendant qu'un oracle extrait à 10 Hz les compteurs exacts de la file d'attente. Puisque l'instant exact de chaque baisse de capacité est imposé par l'ordonnanceur et enregistré, tout détecteur peut être évalué contre des événements datés à la milliseconde près, ce qu'aucune mesure sur lien réel ne permet. Cinq détecteurs de congestion sont confrontés à ces événements datés, et un façonneur adaptatif est comparé aux configurations statiques de gestion active de file.</w:t>
      </w:r>
    </w:p>
    <w:p>
      <w:pPr>
        <w:spacing w:after="0" w:line="360"/>
        <w:ind w:firstLine="709"/>
        <w:jc w:val="both"/>
      </w:pPr>
      <w:r>
        <w:t xml:space="preserve">La démarche est organisée autour de trois questions de recherche. La première (RQ1) porte sur la détection : parmi cinq détecteurs implémentés (seuil fixe, gradient, moyenne mobile à pondération exponentielle, z-score sur médiane glissante, test de Kolmogorov-Smirnov à deux échantillons), lequel repère le plus tôt le début réel de la congestion, à coût de faux positif égal ? La deuxième (RQ2) porte sur l'estimation : avec quelle précision des sondes actives légères (paire de paquets, train de paquets) retrouvent-elles la bande passante disponible d'un lien limité en débit ? La troisième (RQ3) porte sur l'atténuation : un façonneur adaptatif déclenché par la détection fait-il mieux que des configurations statiques de gestion active de file ? Chaque question correspond à une expérience (E1, E2, E3) dont les hypothèses ont été pré-enregistrées avant l'exécution des campagnes.</w:t>
      </w:r>
    </w:p>
    <w:p>
      <w:pPr>
        <w:spacing w:after="0" w:line="360"/>
        <w:ind w:firstLine="709"/>
        <w:jc w:val="both"/>
      </w:pPr>
      <w:r>
        <w:t xml:space="preserve">Trois exigences méthodologiques traversent l'ensemble du travail. La falsifiabilité d'abord : chaque hypothèse précise la direction attendue de l'effet et la condition dans laquelle il doit se manifester, de sorte qu'un résultat contraire soit interprétable comme une réfutation. La vérification croisée ensuite : chaque nombre publié est confirmé par un canal indépendant (tcpdump, iperf3, ping horodaté par le noyau), afin qu'aucune conclusion ne repose sur un seul instrument. La reproductibilité enfin : chaque figure et chaque table du mémoire sont régénérables par une commande unique à partir d'une archive de données gelée et chaînée par SHA-256, ce qui permet à tout tiers de vérifier l'intégralité des résultats.</w:t>
      </w:r>
    </w:p>
    <w:p>
      <w:pPr>
        <w:spacing w:after="0" w:line="360"/>
        <w:ind w:firstLine="709"/>
        <w:jc w:val="both"/>
      </w:pPr>
      <w:r>
        <w:t xml:space="preserve">Le travail assume également un ancrage local revendiqué. Les profils de lien rejoués en émulation (RTT de 50 à 600 ms, effondrement diurne, pertes sporadiques avec gigue) sont calibrés sur des relevés effectués sur un lien 4G réel à Antananarivo, avec une carte prépayée acquise localement. Les métriques économiques convertissent les octets gaspillés en ariary par heure, ce qui rend les résultats directement interprétables par un usager ou un décideur malgache. Les contraintes opérationnelles du terrain, au premier rang desquelles les coupures électriques de la JIRAMA, sont traitées non comme des obstacles mais comme des exigences de conception : l'instrument survit aux interruptions brutales et reprend ses campagnes sans perte de données.</w:t>
      </w:r>
    </w:p>
    <w:p>
      <w:pPr>
        <w:spacing w:after="0" w:line="360"/>
        <w:ind w:firstLine="709"/>
        <w:jc w:val="both"/>
      </w:pPr>
      <w:r>
        <w:t xml:space="preserve">Le mémoire s'articule en cinq parties. La première présente l'organisme d'accueil, la Direction Générale de la Météorologie (Météo Madagascar), et décrit le déroulement du stage au cours duquel ce travail a été mené. La deuxième pose le contexte malgache des liens d'accès, examine les travaux connexes et formule la problématique. La troisième applique la méthodologie d'analyse de l'existant à l'environnement de mesure, en parcourant systématiquement les onze points de la méthode. La quatrième présente l'observatoire CGO : la solution proposée, la comparaison des outils disponibles pour chaque fonction du banc, la présentation de l'outil retenu et les fondements théoriques qui le sous-tendent. La cinquième décrit le protocole expérimental et les trois campagnes E1, E2 et E3, présente les résultats obtenus, les discute et en précise les limites. Une conclusion générale, les références, un glossaire et les annexes complètent le document.</w:t>
      </w:r>
    </w:p>
    <w:p>
      <w:pPr>
        <w:spacing w:after="0" w:line="360"/>
        <w:ind w:firstLine="709"/>
        <w:jc w:val="both"/>
      </w:pPr>
      <w:r>
        <w:t xml:space="preserve">Avant d'aborder le contenu technique, la première partie présente l'organisme au sein duquel ce travail a été réalisé, la Direction Générale de la Météorologie, et les conditions dans lesquelles le stage s'est déroulé.</w:t>
      </w:r>
    </w:p>
    <w:p>
      <w:pPr>
        <w:pStyle w:val="Heading1"/>
        <w:pageBreakBefore/>
        <w:spacing w:after="360" w:before="0" w:line="360"/>
        <w:jc w:val="center"/>
      </w:pPr>
      <w:r>
        <w:t xml:space="preserve">PARTIE I : PRÉSENTATION DE L'ORGANISME D'ACCUEIL ET DÉROULEMENT DU STAGE</w:t>
      </w:r>
    </w:p>
    <w:p>
      <w:pPr>
        <w:spacing w:after="0" w:line="360"/>
        <w:ind w:firstLine="709"/>
        <w:jc w:val="both"/>
      </w:pPr>
      <w:r>
        <w:t xml:space="preserve">Cette première partie situe le cadre institutionnel dans lequel ce travail a été mené. Elle présente d'abord l'organisme d'accueil, la Direction Générale de la Météorologie (Météo Madagascar), à travers sa fiche d'identification, son histoire, ses missions, ses activités, son organisation et son patrimoine. Elle décrit ensuite le déroulement du stage : l'arrivée et l'accueil au sein de la structure, l'intégration dans l'équipe, l'environnement de travail et les missions confiées, puis les apports du stage et son articulation avec la problématique du mémoire.</w:t>
      </w:r>
    </w:p>
    <w:p>
      <w:pPr>
        <w:pStyle w:val="Heading2"/>
        <w:keepNext/>
        <w:spacing w:after="200" w:before="360" w:line="360"/>
      </w:pPr>
      <w:r>
        <w:t xml:space="preserve">1.1 Présentation de Météo Madagascar</w:t>
      </w:r>
    </w:p>
    <w:p>
      <w:pPr>
        <w:spacing w:after="0" w:line="360"/>
        <w:ind w:firstLine="709"/>
        <w:jc w:val="both"/>
      </w:pPr>
      <w:r>
        <w:t xml:space="preserve">Météo Madagascar est le nom d'usage de la Direction Générale de la Météorologie (DGM), l'institution nationale faisant autorité sur toutes les questions liées au temps, au climat et à l'eau à Madagascar. Organisme public placé sous la tutelle du Ministère des Transports et de la Météorologie, elle a pour mission première la protection des personnes, des biens et des moyens de subsistance face aux phénomènes météorologiques et hydrologiques extrêmes. Fort d'environ cent vingt années d'expérience et de près de deux cents agents, l'organisme constitue la première référence du pays en matière d'informations hydrométéorologiques et climatologiques au service de la prévention des catastrophes.</w:t>
      </w:r>
    </w:p>
    <w:p>
      <w:pPr>
        <w:pStyle w:val="Heading3"/>
        <w:keepNext/>
        <w:spacing w:after="160" w:before="280" w:line="360"/>
      </w:pPr>
      <w:r>
        <w:t xml:space="preserve">1.1.1 Fiche d'identification</w:t>
      </w:r>
    </w:p>
    <w:p>
      <w:pPr>
        <w:spacing w:after="0" w:line="360"/>
        <w:ind w:firstLine="709"/>
        <w:jc w:val="both"/>
      </w:pPr>
      <w:r>
        <w:t xml:space="preserve">Le </w:t>
      </w:r>
      <w:r>
        <w:t xml:space="preserve">Tableau </w:t>
      </w:r>
      <w:fldSimple w:instr="REF RefTab_fiche \h">
        <w:r>
          <w:t xml:space="preserve">0</w:t>
        </w:r>
      </w:fldSimple>
      <w:r>
        <w:t xml:space="preserve"> rassemble les éléments d'identification de l'organisme d'accueil.</w:t>
      </w:r>
    </w:p>
    <w:p>
      <w:pPr>
        <w:keepNext/>
        <w:spacing w:after="60" w:before="240" w:line="276"/>
        <w:jc w:val="center"/>
      </w:pPr>
      <w:r>
        <w:rPr>
          <w:i/>
          <w:iCs/>
          <w:sz w:val="22"/>
          <w:szCs w:val="22"/>
        </w:rPr>
        <w:t xml:space="preserve">Tableau </w:t>
      </w:r>
      <w:bookmarkStart w:name="RefTab_fiche" w:id="1"/>
      <w:fldSimple w:instr="SEQ Tableau \* ARABIC">
        <w:r>
          <w:t xml:space="preserve">0</w:t>
        </w:r>
      </w:fldSimple>
      <w:bookmarkEnd w:id="1"/>
      <w:r>
        <w:rPr>
          <w:i/>
          <w:iCs/>
          <w:sz w:val="22"/>
          <w:szCs w:val="22"/>
        </w:rPr>
        <w:t xml:space="preserve"> – Fiche d'identification de la Direction Générale de la Météorologie (Météo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4%"/>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Dénomination</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Direction Générale de la Météorologie (DGM), dite « Météo Madagascar »</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Statut juridique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Organisme public</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Ministère de tutelle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Ministère des Transports et de la Météorologie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Domaine de compétence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Temps, climat et eau (météorologie, climatologie, hydrologie)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Acte de naissance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Arrêté du général Gallieni du 16 février 1901 (création du Service Météorologique et Hydrologique National)</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Adhésion à l’OMM</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Directions techniques</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DEM (Exploitations Météorologiques) et DRDH (Recherches et Développement Hydrométéorologique)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Effectif</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200 agents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Expérience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Environ 120 ans</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Siège social</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BP 1254, Rue Farafaty, Ampandrianomby, 101 Antananarivo, Madagascar</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Téléphone</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+261 20 26 396 32</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Site web</w:t>
            </w:r>
          </w:p>
        </w:tc>
        <w:tc>
          <w:tcPr>
            <w:tcW w:type="pct" w:w="74%"/>
            <w:tcMar>
              <w:top w:type="dxa" w:w="60"/>
              <w:left w:type="dxa" w:w="100"/>
              <w:bottom w:type="dxa" w:w="60"/>
              <w:right w:type="dxa" w:w="100"/>
            </w:tcMar>
            <w:vAlign w:val="center"/>
          </w:tcPr>
          <w:p>
            <w:pPr>
              <w:spacing w:after="0" w:line="240"/>
              <w:jc w:val="left"/>
            </w:pPr>
            <w:r>
              <w:rPr>
                <w:b w:val="false"/>
                <w:bCs w:val="false"/>
                <w:sz w:val="22"/>
                <w:szCs w:val="22"/>
              </w:rPr>
              <w:t xml:space="preserve">www.meteomadagascar.mg</w:t>
            </w:r>
          </w:p>
        </w:tc>
      </w:tr>
    </w:tbl>
    <w:p>
      <w:pPr>
        <w:spacing w:after="240" w:line="240"/>
      </w:pPr>
    </w:p>
    <w:p>
      <w:pPr>
        <w:pStyle w:val="Heading3"/>
        <w:keepNext/>
        <w:spacing w:after="160" w:before="280" w:line="360"/>
      </w:pPr>
      <w:r>
        <w:t xml:space="preserve">1.1.2 Bref historique</w:t>
      </w:r>
    </w:p>
    <w:p>
      <w:pPr>
        <w:spacing w:after="0" w:line="360"/>
        <w:ind w:firstLine="709"/>
        <w:jc w:val="both"/>
      </w:pPr>
      <w:r>
        <w:t xml:space="preserve">L'histoire de la météorologie à Madagascar remonte à 1884 environ, lorsque des missionnaires catholiques établis à Andohalo, à Antananarivo, ont commencé à relever des variables météorologiques pour des besoins agricoles. Entre la fin du XIXᵉ siècle et le début du XXᵉ, les efforts de documentation et d'obtention de renseignements météorologiques se multiplient, jusqu'à ce que le général Gallieni signe, le 16 février 1901, un arrêté considéré comme « l'acte de naissance de la météo malgache ». Cet arrêté institue le Service Météorologique et Hydrologique National (SMHN). C'est à travers ce service que Madagascar adhère, le 15 décembre 1960, à l'Organisation Météorologique Mondiale (OMM), organisation intergouvernementale fondée par la convention météorologique mondiale du 11 octobre 1947 entrée en vigueur le 23 mars 1950.</w:t>
      </w:r>
    </w:p>
    <w:p>
      <w:pPr>
        <w:spacing w:after="0" w:line="360"/>
        <w:ind w:firstLine="709"/>
        <w:jc w:val="both"/>
      </w:pPr>
      <w:r>
        <w:t xml:space="preserve">Au fil des décennies, la structure a changé plusieurs fois de dénomination et de ministère de tutelle, au gré des réorganisations administratives successives : « Service de la Météorologie Agricole et Service de Prévision du Temps » (1901-1927), « Direction des Services Météorologiques de Madagascar et Dépendance » (1927-1949), « Service Météorologique de Madagascar et Dépendance » (1949-1962), puis, après l'indépendance, « Direction des Services de la Météorologie Nationale Malgache » (1962-1975), « Service de la Météorologie Nationale » (1975-1986), « Direction de la Météorologie Nationale » (1986-1989) et « Direction de la Météorologie et de l'Hydrologie » (1989-2001). Le </w:t>
      </w:r>
      <w:r>
        <w:t xml:space="preserve">Tableau </w:t>
      </w:r>
      <w:fldSimple w:instr="REF RefTab_histoire \h">
        <w:r>
          <w:t xml:space="preserve">0</w:t>
        </w:r>
      </w:fldSimple>
      <w:r>
        <w:t xml:space="preserve"> retrace ces principales étapes.</w:t>
      </w:r>
    </w:p>
    <w:p>
      <w:pPr>
        <w:keepNext/>
        <w:spacing w:after="60" w:before="240" w:line="276"/>
        <w:jc w:val="center"/>
      </w:pPr>
      <w:r>
        <w:rPr>
          <w:i/>
          <w:iCs/>
          <w:sz w:val="22"/>
          <w:szCs w:val="22"/>
        </w:rPr>
        <w:t xml:space="preserve">Tableau </w:t>
      </w:r>
      <w:bookmarkStart w:name="RefTab_histoire" w:id="1"/>
      <w:fldSimple w:instr="SEQ Tableau \* ARABIC">
        <w:r>
          <w:t xml:space="preserve">0</w:t>
        </w:r>
      </w:fldSimple>
      <w:bookmarkEnd w:id="1"/>
      <w:r>
        <w:rPr>
          <w:i/>
          <w:iCs/>
          <w:sz w:val="22"/>
          <w:szCs w:val="22"/>
        </w:rPr>
        <w:t xml:space="preserve"> – Principales étapes de l'évolution institutionnelle de la météorologie à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Période</w:t>
            </w:r>
          </w:p>
        </w:tc>
        <w:tc>
          <w:tcPr>
            <w:tcW w:type="pct" w:w="78%"/>
            <w:shd w:fill="E7E6E6" w:val="clear"/>
            <w:tcMar>
              <w:top w:type="dxa" w:w="60"/>
              <w:left w:type="dxa" w:w="100"/>
              <w:bottom w:type="dxa" w:w="60"/>
              <w:right w:type="dxa" w:w="100"/>
            </w:tcMar>
            <w:vAlign w:val="center"/>
          </w:tcPr>
          <w:p>
            <w:pPr>
              <w:spacing w:after="0" w:line="240"/>
              <w:jc w:val="center"/>
            </w:pPr>
            <w:r>
              <w:rPr>
                <w:b/>
                <w:bCs/>
                <w:sz w:val="22"/>
                <w:szCs w:val="22"/>
              </w:rPr>
              <w:t xml:space="preserve">Dénomination / événement</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~1884</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Premiers relevés par les missionnaires catholiques d’Andohalo</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16 février 1901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Arrêté Gallieni : création du Service Météorologique et Hydrologique National (SMHN)</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1901-1927</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Agricole et Service de Prévision du Temps</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1927-1949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Météorologiques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1949-1962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Météorologique de Madagascar et Dépendance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15 décembre 1960</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Adhésion de Madagascar à l’Organisation Météorologique Mondiale (OMM)</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1962-1975</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des Services de la Météorologie Nationale Malgache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1975-1986</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Service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1986-1989</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Nationale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1989-2001</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Direction de la Météorologie et de l’Hydrologie</w:t>
            </w:r>
          </w:p>
        </w:tc>
      </w:tr>
      <w:tr>
        <w:trPr>
          <w:cantSplit/>
        </w:trPr>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Depuis 2002</w:t>
            </w:r>
          </w:p>
        </w:tc>
        <w:tc>
          <w:tcPr>
            <w:tcW w:type="pct" w:w="78%"/>
            <w:tcMar>
              <w:top w:type="dxa" w:w="60"/>
              <w:left w:type="dxa" w:w="100"/>
              <w:bottom w:type="dxa" w:w="60"/>
              <w:right w:type="dxa" w:w="100"/>
            </w:tcMar>
            <w:vAlign w:val="center"/>
          </w:tcPr>
          <w:p>
            <w:pPr>
              <w:spacing w:after="0" w:line="240"/>
              <w:jc w:val="left"/>
            </w:pPr>
            <w:r>
              <w:rPr>
                <w:b w:val="false"/>
                <w:bCs w:val="false"/>
                <w:sz w:val="22"/>
                <w:szCs w:val="22"/>
              </w:rPr>
              <w:t xml:space="preserve">Érection en Direction Générale de la Météorologie (DGM) et stabilité organisationnelle</w:t>
            </w:r>
          </w:p>
        </w:tc>
      </w:tr>
    </w:tbl>
    <w:p>
      <w:pPr>
        <w:spacing w:after="240" w:line="240"/>
      </w:pPr>
    </w:p>
    <w:p>
      <w:pPr>
        <w:spacing w:after="0" w:line="360"/>
        <w:ind w:firstLine="709"/>
        <w:jc w:val="both"/>
      </w:pPr>
      <w:r>
        <w:t xml:space="preserve">L'année 2002 marque un tournant : le décret n° 2002-803 du 7 août 2002 relatif à l'organisation du Ministère des Transports et de la Météorologie inaugure la stabilité organisationnelle encore en vigueur aujourd'hui. La structure devient Direction Générale de la Météorologie et n'a plus connu, depuis, de réorganisation profonde, même si son ministère de tutelle a plusieurs fois changé d'intitulé et de secteurs rattachés (travaux publics, tourisme, transports). Les attributions actuelles découlent notamment des décrets successifs de 2005, 2006, 2007, 2011, 2016, 2019 et 2021, ce dernier (décret n° 2021-863) fixant les attributions du Ministre des Transports et de la Météorologie ainsi que l'organisation générale de son ministère.</w:t>
      </w:r>
    </w:p>
    <w:p>
      <w:pPr>
        <w:pStyle w:val="Heading3"/>
        <w:keepNext/>
        <w:spacing w:after="160" w:before="280" w:line="360"/>
      </w:pPr>
      <w:r>
        <w:t xml:space="preserve">1.1.3 Missions et objectifs</w:t>
      </w:r>
    </w:p>
    <w:p>
      <w:pPr>
        <w:spacing w:after="0" w:line="360"/>
        <w:ind w:firstLine="709"/>
        <w:jc w:val="both"/>
      </w:pPr>
      <w:r>
        <w:t xml:space="preserve">En tant qu'institution nationale faisant autorité sur les questions liées au temps, au climat et à l'eau, la Direction Générale de la Météorologie a pour mission de couvrir les besoins de la société malagasy en matière de services météorologiques, climatologiques, hydrologiques et de gestion des ressources en eau, de services environnementaux et de résultats de recherche. Ces services concourent à quatre objectifs principaux : contribuer à la réduction des risques de catastrophes liées au temps, au climat et à l'eau et protéger les biens et les personnes ; assurer la sécurité et le fonctionnement économique des transports aériens, maritimes et terrestres ; renforcer la résilience face à la variabilité et à l'évolution du climat ; et favoriser l'exploitation durable des ressources naturelles afin de contribuer à la croissance économique du pays.</w:t>
      </w:r>
    </w:p>
    <w:p>
      <w:pPr>
        <w:spacing w:after="0" w:line="360"/>
        <w:ind w:firstLine="709"/>
        <w:jc w:val="both"/>
      </w:pPr>
      <w:r>
        <w:t xml:space="preserve">Dans le cadre de ces missions, l'organisme est notamment chargé de mettre en place et d'entretenir le réseau national d'observation météorologique, climatologique et hydrologique ; de collecter, d'analyser et de traiter les données d'observation ; d'élaborer et de diffuser les prévisions du temps, les avis d'alerte pour la protection des biens et des personnes, ainsi que les informations climatiques aux échelles intra-saisonnière, saisonnière et décennale ; et de fournir des avis techniques scientifiquement fondés sur toutes les questions liées au temps, au climat et à l'eau. Cette dernière attribution fait de la DGM l'institution nationale de référence dans ces domaines et l'inscrit dans le Cadre National pour les Services Climatologiques, qui vise à fournir des informations utiles et utilisables répondant aux besoins spécifiques des usagers pour la prise de décision.</w:t>
      </w:r>
    </w:p>
    <w:p>
      <w:pPr>
        <w:pStyle w:val="Heading3"/>
        <w:keepNext/>
        <w:spacing w:after="160" w:before="280" w:line="360"/>
      </w:pPr>
      <w:r>
        <w:t xml:space="preserve">1.1.4 Activités et services</w:t>
      </w:r>
    </w:p>
    <w:p>
      <w:pPr>
        <w:spacing w:after="0" w:line="360"/>
        <w:ind w:firstLine="709"/>
        <w:jc w:val="both"/>
      </w:pPr>
      <w:r>
        <w:t xml:space="preserve">Les activités de Météo Madagascar se déclinent en plusieurs domaines complémentaires. La météorologie opérationnelle assure l'analyse et la prévision générale du temps à courtes échéances, la prévision marine et la production d'avis d'alerte en cas d'événements extrêmes — cyclones, vents forts, fortes pluies, fortes houles. La climatologie documente le climat, suit sa variabilité et son évolution, et produit des projections à long terme. L'hydrologie établit les prévisions de crues en temps réel et gère les informations nécessaires à l'évaluation et à l'utilisation rationnelle des ressources en eau de surface du pays. À ces activités s'ajoutent l'agro-météorologie, l'assistance aux secteurs du transport, du tourisme et de l'environnement, ainsi que la recherche appliquée.</w:t>
      </w:r>
    </w:p>
    <w:p>
      <w:pPr>
        <w:spacing w:after="0" w:line="360"/>
        <w:ind w:firstLine="709"/>
        <w:jc w:val="both"/>
      </w:pPr>
      <w:r>
        <w:t xml:space="preserve">Ces services s'appuient sur un réseau national d'observation hydrométéorologique, sur des moyens de télécommunication et d'informatique dédiés à la collecte et au traitement des données, et sur une chaîne de diffusion à destination des autorités, des secteurs clés et du grand public. L'organisme entretient par ailleurs des coopérations techniques et scientifiques aux niveaux national et international, notamment dans le cadre de l'OMM, et veille à la mise en œuvre des questions de normalisation dans le domaine des activités météorologiques et hydrologiques.</w:t>
      </w:r>
    </w:p>
    <w:p>
      <w:pPr>
        <w:pStyle w:val="Heading3"/>
        <w:keepNext/>
        <w:spacing w:after="160" w:before="280" w:line="360"/>
      </w:pPr>
      <w:r>
        <w:t xml:space="preserve">1.1.5 Organisation et organigramme</w:t>
      </w:r>
    </w:p>
    <w:p>
      <w:pPr>
        <w:spacing w:after="0" w:line="360"/>
        <w:ind w:firstLine="709"/>
        <w:jc w:val="both"/>
      </w:pPr>
      <w:r>
        <w:t xml:space="preserve">La Direction Générale de la Météorologie est dirigée par un Directeur Général et structurée autour de deux directions techniques et d'un ensemble de services rattachés directement à la direction générale. La première direction technique est la Direction des Exploitations Météorologiques (DEM), en charge de l'observation, de la prévision opérationnelle et de l'hydrologie. La seconde est la Direction des Recherches et Développement Hydrométéorologique (DRDH), en charge de la recherche, de la banque de données et des applications. Les services rattachés assurent les fonctions support : secrétariat, division finance, administration et logistique (DAFL), division de la communication et des relations publiques (DIVCOMRP). La </w:t>
      </w:r>
      <w:r>
        <w:t xml:space="preserve">Figure </w:t>
      </w:r>
      <w:fldSimple w:instr="REF RefFig_orgDgm \h">
        <w:r>
          <w:t xml:space="preserve">0</w:t>
        </w:r>
      </w:fldSimple>
      <w:r>
        <w:t xml:space="preserve"> présente l'organigramme général de la DGM.</w:t>
      </w:r>
    </w:p>
    <w:p>
      <w:pPr>
        <w:keepNext/>
        <w:spacing w:after="60" w:before="240" w:line="240"/>
        <w:jc w:val="center"/>
      </w:pPr>
      <w:r>
        <w:drawing>
          <wp:inline distT="0" distB="0" distL="0" distR="0">
            <wp:extent cx="57531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53100" cy="3238500"/>
                    </a:xfrm>
                    <a:prstGeom prst="rect">
                      <a:avLst/>
                    </a:prstGeom>
                  </pic:spPr>
                </pic:pic>
              </a:graphicData>
            </a:graphic>
          </wp:inline>
        </w:drawing>
      </w:r>
    </w:p>
    <w:p>
      <w:pPr>
        <w:spacing w:after="240" w:before="0" w:line="276"/>
        <w:jc w:val="center"/>
      </w:pPr>
      <w:r>
        <w:rPr>
          <w:i/>
          <w:iCs/>
          <w:sz w:val="22"/>
          <w:szCs w:val="22"/>
        </w:rPr>
        <w:t xml:space="preserve">Figure </w:t>
      </w:r>
      <w:bookmarkStart w:name="RefFig_orgDgm" w:id="1"/>
      <w:fldSimple w:instr="SEQ Figure \* ARABIC">
        <w:r>
          <w:t xml:space="preserve">0</w:t>
        </w:r>
      </w:fldSimple>
      <w:bookmarkEnd w:id="1"/>
      <w:r>
        <w:rPr>
          <w:i/>
          <w:iCs/>
          <w:sz w:val="22"/>
          <w:szCs w:val="22"/>
        </w:rPr>
        <w:t xml:space="preserve"> – Organigramme général de la Direction Générale de la Météorologie (DGM).</w:t>
      </w:r>
    </w:p>
    <w:p>
      <w:pPr>
        <w:spacing w:after="0" w:line="360"/>
        <w:ind w:firstLine="709"/>
        <w:jc w:val="both"/>
      </w:pPr>
      <w:r>
        <w:t xml:space="preserve">Le stage s'est déroulé au sein de la Direction des Exploitations Météorologiques (DEM), qui constitue le cœur opérationnel de l'organisme. La DEM regroupe trois services : le Service de la Météorologie Opérationnelle (SMO), qui comprend une division de prévision opérationnelle et une division climatologique ; le Service de la Maintenance et des Installations Techniques (SMIT), qui assure le fonctionnement et l'entretien des équipements d'observation et de télécommunication ; et le Service de l'Hydrologie (SH), qui comprend une division de prévision hydrologique et une division de prévision hydrométrique. Un comptable, un secrétariat de direction et une division d'appui sont rattachés directement à la DEM. La </w:t>
      </w:r>
      <w:r>
        <w:t xml:space="preserve">Figure </w:t>
      </w:r>
      <w:fldSimple w:instr="REF RefFig_orgDem \h">
        <w:r>
          <w:t xml:space="preserve">0</w:t>
        </w:r>
      </w:fldSimple>
      <w:r>
        <w:t xml:space="preserve"> détaille cette organisation.</w:t>
      </w:r>
    </w:p>
    <w:p>
      <w:pPr>
        <w:keepNext/>
        <w:spacing w:after="60" w:before="240" w:line="240"/>
        <w:jc w:val="center"/>
      </w:pPr>
      <w:r>
        <w:drawing>
          <wp:inline distT="0" distB="0" distL="0" distR="0">
            <wp:extent cx="5753100" cy="525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53100" cy="5257800"/>
                    </a:xfrm>
                    <a:prstGeom prst="rect">
                      <a:avLst/>
                    </a:prstGeom>
                  </pic:spPr>
                </pic:pic>
              </a:graphicData>
            </a:graphic>
          </wp:inline>
        </w:drawing>
      </w:r>
    </w:p>
    <w:p>
      <w:pPr>
        <w:spacing w:after="240" w:before="0" w:line="276"/>
        <w:jc w:val="center"/>
      </w:pPr>
      <w:r>
        <w:rPr>
          <w:i/>
          <w:iCs/>
          <w:sz w:val="22"/>
          <w:szCs w:val="22"/>
        </w:rPr>
        <w:t xml:space="preserve">Figure </w:t>
      </w:r>
      <w:bookmarkStart w:name="RefFig_orgDem" w:id="1"/>
      <w:fldSimple w:instr="SEQ Figure \* ARABIC">
        <w:r>
          <w:t xml:space="preserve">0</w:t>
        </w:r>
      </w:fldSimple>
      <w:bookmarkEnd w:id="1"/>
      <w:r>
        <w:rPr>
          <w:i/>
          <w:iCs/>
          <w:sz w:val="22"/>
          <w:szCs w:val="22"/>
        </w:rPr>
        <w:t xml:space="preserve"> – Organigramme de la Direction des Exploitations Météorologiques (DEM), structure d'accueil du stage.</w:t>
      </w:r>
    </w:p>
    <w:p>
      <w:pPr>
        <w:spacing w:after="0" w:line="360"/>
        <w:ind w:firstLine="709"/>
        <w:jc w:val="both"/>
      </w:pPr>
      <w:r>
        <w:t xml:space="preserve">Selon la définition de l'organisme, la DEM a pour mission de couvrir les besoins de la société malagasy en matière de sauvegarde des vies humaines et des biens face aux catastrophes naturelles, de mise en alerte de la population en cas d'événements météorologiques ou hydrologiques extrêmes, d'assistance météorologique et hydrologique aux activités et projets de développement, et d'installation, de fonctionnement et de maintenance des stations du réseau d'observation hydrométéorologique national. Ce positionnement, à la charnière de l'observation instrumentale et de la production d'alertes, fait de la DEM un cadre d'accueil pertinent pour un travail portant sur l'instrumentation et la mesure fine de phénomènes dynamiques.</w:t>
      </w:r>
    </w:p>
    <w:p>
      <w:pPr>
        <w:pStyle w:val="Heading3"/>
        <w:keepNext/>
        <w:spacing w:after="160" w:before="280" w:line="360"/>
      </w:pPr>
      <w:r>
        <w:t xml:space="preserve">1.1.6 Patrimoine et moyens</w:t>
      </w:r>
    </w:p>
    <w:p>
      <w:pPr>
        <w:spacing w:after="0" w:line="360"/>
        <w:ind w:firstLine="709"/>
        <w:jc w:val="both"/>
      </w:pPr>
      <w:r>
        <w:t xml:space="preserve">Le patrimoine de Météo Madagascar est à la fois humain, matériel, informationnel et immatériel. Le patrimoine humain réunit près de deux cents agents — prévisionnistes, climatologues, hydrologues, techniciens de maintenance, informaticiens et personnel administratif — dont l'expérience cumulée constitue le principal actif de l'institution. Le patrimoine immobilier comprend le siège d'Ampandrianomby à Antananarivo et les implantations provinciales, chaque province étant dotée d'un service de la météorologie.</w:t>
      </w:r>
    </w:p>
    <w:p>
      <w:pPr>
        <w:spacing w:after="0" w:line="360"/>
        <w:ind w:firstLine="709"/>
        <w:jc w:val="both"/>
      </w:pPr>
      <w:r>
        <w:t xml:space="preserve">Le patrimoine matériel est constitué du réseau national d'observation hydrométéorologique — stations synoptiques, climatologiques, agro-météorologiques et hydrologiques, instruments de mesure, systèmes de télécommunication et moyens de réception de données satellitaires — ainsi que des moyens informatiques de traitement et d'archivage. Le patrimoine informationnel, enfin, réside dans les archives climatologiques et hydrologiques accumulées depuis plus d'un siècle : ces longues séries de données, gérées par les services dédiés à la banque de données, constituent une ressource scientifique irremplaçable pour l'étude du climat et de sa variabilité, et sont protégées au titre des questions de normalisation et de conservation dont l'organisme a la charge.</w:t>
      </w:r>
    </w:p>
    <w:p>
      <w:pPr>
        <w:pStyle w:val="Heading2"/>
        <w:keepNext/>
        <w:spacing w:after="200" w:before="360" w:line="360"/>
      </w:pPr>
      <w:r>
        <w:t xml:space="preserve">1.2 Descriptif du stage</w:t>
      </w:r>
    </w:p>
    <w:p>
      <w:pPr>
        <w:spacing w:after="0" w:line="360"/>
        <w:ind w:firstLine="709"/>
        <w:jc w:val="both"/>
      </w:pPr>
      <w:r>
        <w:t xml:space="preserve">Cette section décrit les conditions concrètes dans lesquelles le stage s'est déroulé au sein de la Direction des Exploitations Météorologiques : l'arrivée et l'accueil, l'intégration dans l'équipe, l'environnement de travail et les missions confiées, puis les apports retirés de cette expérience et leur articulation avec la problématique traitée dans la suite du mémoire.</w:t>
      </w:r>
    </w:p>
    <w:p>
      <w:pPr>
        <w:pStyle w:val="Heading3"/>
        <w:keepNext/>
        <w:spacing w:after="160" w:before="280" w:line="360"/>
      </w:pPr>
      <w:r>
        <w:t xml:space="preserve">1.2.1 Arrivée et accueil au sein de l'organisme</w:t>
      </w:r>
    </w:p>
    <w:p>
      <w:pPr>
        <w:spacing w:after="0" w:line="360"/>
        <w:ind w:firstLine="709"/>
        <w:jc w:val="both"/>
      </w:pPr>
      <w:r>
        <w:t xml:space="preserve">L'arrivée au sein de Météo Madagascar s'est faite à la suite d'une convention de stage établie entre l'Université d'Antananarivo et la Direction Générale de la Météorologie. Dès le premier jour, l'accueil a été assuré par le responsable de la Direction des Exploitations Météorologiques, qui a présenté la structure, ses missions et son organisation, avant de désigner un encadreur professionnel chargé du suivi quotidien. Une visite des différents services de la direction — météorologie opérationnelle, maintenance et installations techniques, hydrologie — a permis de comprendre l'enchaînement des activités, depuis l'observation instrumentale jusqu'à la production et la diffusion des prévisions et des alertes.</w:t>
      </w:r>
    </w:p>
    <w:p>
      <w:pPr>
        <w:spacing w:after="0" w:line="360"/>
        <w:ind w:firstLine="709"/>
        <w:jc w:val="both"/>
      </w:pPr>
      <w:r>
        <w:t xml:space="preserve">Cette phase d'accueil s'est accompagnée d'une présentation des règles internes, des horaires, des consignes de sécurité et des outils de travail. La mise à disposition d'un poste de travail et l'accès aux ressources documentaires de la direction ont marqué le point de départ effectif du stage.</w:t>
      </w:r>
    </w:p>
    <w:p>
      <w:pPr>
        <w:pStyle w:val="Heading3"/>
        <w:keepNext/>
        <w:spacing w:after="160" w:before="280" w:line="360"/>
      </w:pPr>
      <w:r>
        <w:t xml:space="preserve">1.2.2 Facilité de l'intégration</w:t>
      </w:r>
    </w:p>
    <w:p>
      <w:pPr>
        <w:spacing w:after="0" w:line="360"/>
        <w:ind w:firstLine="709"/>
        <w:jc w:val="both"/>
      </w:pPr>
      <w:r>
        <w:t xml:space="preserve">L'intégration a été facilitée par la disponibilité de l'encadreur professionnel et par la culture de collaboration qui caractérise les services techniques de la direction. Les échanges réguliers avec les prévisionnistes et les techniciens de maintenance ont permis de se familiariser rapidement avec le vocabulaire métier, avec les contraintes opérationnelles du travail en continu et avec les exigences de fiabilité propres à une institution productrice d'alertes. La taille humaine de l'équipe et la proximité entre les services ont favorisé une insertion rapide et un accès direct aux personnes-ressources.</w:t>
      </w:r>
    </w:p>
    <w:p>
      <w:pPr>
        <w:spacing w:after="0" w:line="360"/>
        <w:ind w:firstLine="709"/>
        <w:jc w:val="both"/>
      </w:pPr>
      <w:r>
        <w:t xml:space="preserve">Les principales difficultés rencontrées au début du stage tenaient moins à l'accueil qu'à l'appropriation d'un domaine d'application nouveau et à la conciliation entre les impératifs opérationnels du service et le calendrier du travail de recherche. Ces difficultés ont été progressivement levées grâce à l'accompagnement de l'encadreur et à l'observation directe des pratiques du service.</w:t>
      </w:r>
    </w:p>
    <w:p>
      <w:pPr>
        <w:pStyle w:val="Heading3"/>
        <w:keepNext/>
        <w:spacing w:after="160" w:before="280" w:line="360"/>
      </w:pPr>
      <w:r>
        <w:t xml:space="preserve">1.2.3 Environnement de travail et missions confiées</w:t>
      </w:r>
    </w:p>
    <w:p>
      <w:pPr>
        <w:spacing w:after="0" w:line="360"/>
        <w:ind w:firstLine="709"/>
        <w:jc w:val="both"/>
      </w:pPr>
      <w:r>
        <w:t xml:space="preserve">L'environnement de travail combine des activités opérationnelles menées en continu — observation, prévision, veille et alerte — et des activités d'appui technique et informatique. C'est dans ce dernier registre que se sont inscrites les missions confiées : observer la chaîne d'acquisition, de transmission et de traitement des données, comprendre les contraintes de fiabilité et de continuité de service imposées par la mission d'alerte, et identifier les points où la qualité des liaisons de communication conditionne la ponctualité et l'intégrité de l'information produite.</w:t>
      </w:r>
    </w:p>
    <w:p>
      <w:pPr>
        <w:spacing w:after="0" w:line="360"/>
        <w:ind w:firstLine="709"/>
        <w:jc w:val="both"/>
      </w:pPr>
      <w:r>
        <w:t xml:space="preserve">Ces observations ont nourri directement la réflexion menée dans ce mémoire. La dépendance des activités de la direction à des liaisons de communication fiables, dans un contexte national marqué par une connectivité contrainte et des coupures d'alimentation fréquentes, a mis en évidence l'intérêt d'un instrument capable de caractériser rigoureusement la congestion des liens d'accès et de quantifier son coût. Le stage a ainsi fourni le cadre applicatif et la motivation concrète du travail de conception et d'expérimentation présenté dans les parties suivantes.</w:t>
      </w:r>
    </w:p>
    <w:p>
      <w:pPr>
        <w:pStyle w:val="Heading3"/>
        <w:keepNext/>
        <w:spacing w:after="160" w:before="280" w:line="360"/>
      </w:pPr>
      <w:r>
        <w:t xml:space="preserve">1.2.4 Apports du stage et lien avec le mémoire</w:t>
      </w:r>
    </w:p>
    <w:p>
      <w:pPr>
        <w:spacing w:after="0" w:line="360"/>
        <w:ind w:firstLine="709"/>
        <w:jc w:val="both"/>
      </w:pPr>
      <w:r>
        <w:t xml:space="preserve">Sur le plan professionnel, le stage a permis de découvrir le fonctionnement d'une institution scientifique et technique nationale, d'observer l'articulation entre production opérationnelle et exigences de fiabilité, et de mesurer l'importance des infrastructures de communication dans la chaîne de valeur de l'information hydrométéorologique. Sur le plan technique, il a offert un terrain d'observation des contraintes réelles — variabilité des liaisons, coupures d'alimentation, coût de la donnée — qui structurent la problématique du mémoire.</w:t>
      </w:r>
    </w:p>
    <w:p>
      <w:pPr>
        <w:spacing w:after="0" w:line="360"/>
        <w:ind w:firstLine="709"/>
        <w:jc w:val="both"/>
      </w:pPr>
      <w:r>
        <w:t xml:space="preserve">Le lien avec le travail de recherche est direct : les exigences de robustesse et de fiabilité observées au sein de la direction se retrouvent dans les choix de conception de l'observatoire CGO, qui doit survivre aux interruptions et produire des mesures vérifiables. La partie suivante développe le contexte technique de ce travail — les liens d'accès malgaches, leurs contraintes et le cadre qui les régit — avant l'exposé de la méthodologie et de l'instrument.</w:t>
      </w:r>
    </w:p>
    <w:p>
      <w:pPr>
        <w:pStyle w:val="Heading1"/>
        <w:pageBreakBefore/>
        <w:spacing w:after="360" w:before="0" w:line="360"/>
        <w:jc w:val="center"/>
      </w:pPr>
      <w:r>
        <w:t xml:space="preserve">PARTIE II : CONTEXTE ET ÉTAT DE L'ART</w:t>
      </w:r>
    </w:p>
    <w:p>
      <w:pPr>
        <w:spacing w:after="0" w:line="360"/>
        <w:ind w:firstLine="709"/>
        <w:jc w:val="both"/>
      </w:pPr>
      <w:r>
        <w:t xml:space="preserve">Cette partie situe le travail dans son environnement. Elle décrit d'abord les liens d'accès malgaches sous quatre angles : l'infrastructure de connectivité, le coût rapporté au pouvoir d'achat, les contraintes opérationnelles qui pèsent sur toute instrumentation, et le cadre réglementaire applicable. Elle examine ensuite les travaux connexes en trois volets : la mesure du bufferbloat, l'adaptation de débit et la reproductibilité des mesures. Elle formule enfin la problématique sous la forme de trois questions de recherche, chacune assortie d'une hypothèse falsifiable.</w:t>
      </w:r>
    </w:p>
    <w:p>
      <w:pPr>
        <w:pStyle w:val="Heading2"/>
        <w:keepNext/>
        <w:spacing w:after="200" w:before="360" w:line="360"/>
      </w:pPr>
      <w:r>
        <w:t xml:space="preserve">2.1 Le contexte malgache des liens d'accès</w:t>
      </w:r>
    </w:p>
    <w:p>
      <w:pPr>
        <w:pStyle w:val="Heading3"/>
        <w:keepNext/>
        <w:spacing w:after="160" w:before="280" w:line="360"/>
      </w:pPr>
      <w:r>
        <w:t xml:space="preserve">2.1.1 Infrastructure de connectivité</w:t>
      </w:r>
    </w:p>
    <w:p>
      <w:pPr>
        <w:spacing w:after="0" w:line="360"/>
        <w:ind w:firstLine="709"/>
        <w:jc w:val="both"/>
      </w:pPr>
      <w:r>
        <w:t xml:space="preserve">Madagascar compte 6,71 millions d'internautes en octobre 2025 [1] pour une population d'environ 30 millions d'habitants. Le taux de pénétration est parmi les plus faibles du monde : 20,37 % de la population utilisait Internet en 2023 selon la Banque Mondiale [2]. Ce chiffre place le pays dans le groupe des économies numériquement les moins connectées de la planète, aux côtés de l'Érythrée et de la République démocratique du Congo. Le pays dénombre 18,2 millions de connexions mobiles [3] : l'accès passe quasi exclusivement par le terminal mobile. La téléphonie fixe, historiquement portée par des lignes cuivre dégradées et un réseau DSL quasi inexistant, ne pèse plus dans la connectivité numérique nationale.</w:t>
      </w:r>
    </w:p>
    <w:p>
      <w:pPr>
        <w:spacing w:after="0" w:line="360"/>
        <w:ind w:firstLine="709"/>
        <w:jc w:val="both"/>
      </w:pPr>
      <w:r>
        <w:t xml:space="preserve">La couverture 4G n'atteignait que 34,6 % de la population en 2024, contre une moyenne africaine de 75,2 % [5]. Ce retard est plus marqué en zone rurale, qui concentre plus de 60 % de la population malgache. Quatre opérateurs mobiles (Telma, Orange, Airtel et Yas) se partagent le marché sous la régulation de l'ARTEC [20]. Chacun détient une licence d'exploitation attribuée par l'État et doit satisfaire à des obligations de couverture progressives, suivies par l'observatoire des infrastructures [22]. La répartition des fréquences et les bandes attribuées (700 MHz, 1800 MHz, 2600 MHz) influent directement sur la portée des cellules et la qualité de la réception à l'intérieur des bâtiments, ce qui a des conséquences sur les profils de perte et de gigue observés dans les campagnes de mesure.</w:t>
      </w:r>
    </w:p>
    <w:p>
      <w:pPr>
        <w:spacing w:after="0" w:line="360"/>
        <w:ind w:firstLine="709"/>
        <w:jc w:val="both"/>
      </w:pPr>
      <w:r>
        <w:t xml:space="preserve">La capacité internationale a été renforcée ces dernières années par deux câbles sous-marins, dont la </w:t>
      </w:r>
      <w:r>
        <w:t xml:space="preserve">Figure </w:t>
      </w:r>
      <w:fldSimple w:instr="REF RefFig_cables \h">
        <w:r>
          <w:t xml:space="preserve">0</w:t>
        </w:r>
      </w:fldSimple>
      <w:r>
        <w:t xml:space="preserve"> présente le positionnement. Le câble METISS, en service depuis mars 2021 [8], long de 3 200 kilomètres, relie Maurice, La Réunion, Madagascar et l'Afrique du Sud [6][7]. Sa capacité atteint 12 Tbit/s. Le câble 2Africa, atterri à Mahajanga par le partenariat Telma-Vodafone [9][10], ajoute une capacité supplémentaire de 180 Tbit/s à l'échelle du système. La contrainte ne se situe donc plus sur le segment international : elle est au dernier kilomètre radio.</w:t>
      </w:r>
    </w:p>
    <w:p>
      <w:pPr>
        <w:keepNext/>
        <w:spacing w:after="60" w:before="240" w:line="240"/>
        <w:jc w:val="center"/>
      </w:pPr>
      <w:r>
        <w:drawing>
          <wp:inline distT="0" distB="0" distL="0" distR="0">
            <wp:extent cx="57531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53100" cy="3581400"/>
                    </a:xfrm>
                    <a:prstGeom prst="rect">
                      <a:avLst/>
                    </a:prstGeom>
                  </pic:spPr>
                </pic:pic>
              </a:graphicData>
            </a:graphic>
          </wp:inline>
        </w:drawing>
      </w:r>
    </w:p>
    <w:p>
      <w:pPr>
        <w:spacing w:after="240" w:before="0" w:line="276"/>
        <w:jc w:val="center"/>
      </w:pPr>
      <w:r>
        <w:rPr>
          <w:i/>
          <w:iCs/>
          <w:sz w:val="22"/>
          <w:szCs w:val="22"/>
        </w:rPr>
        <w:t xml:space="preserve">Figure </w:t>
      </w:r>
      <w:bookmarkStart w:name="RefFig_cables" w:id="1"/>
      <w:fldSimple w:instr="SEQ Figure \* ARABIC">
        <w:r>
          <w:t xml:space="preserve">0</w:t>
        </w:r>
      </w:fldSimple>
      <w:bookmarkEnd w:id="1"/>
      <w:r>
        <w:rPr>
          <w:i/>
          <w:iCs/>
          <w:sz w:val="22"/>
          <w:szCs w:val="22"/>
        </w:rPr>
        <w:t xml:space="preserve"> – Positionnement des câbles sous-marins METISS et 2Africa autour de Madagascar (schéma simplifié).</w:t>
      </w:r>
    </w:p>
    <w:p>
      <w:pPr>
        <w:spacing w:after="0" w:line="360"/>
        <w:ind w:firstLine="709"/>
        <w:jc w:val="both"/>
      </w:pPr>
      <w:r>
        <w:t xml:space="preserve">La capacité partagée d'une cellule 4G s'effondre aux heures de pointe. Les réseaux d'accès des abonnés, dimensionnés pour un trafic moyen, n'absorbent pas les pics de soirée. Hors des villes, le VSAT reste souvent la seule option, avec des RTT de l'ordre de 600 ms. Le pays se classe 136ème mondial pour le débit fixe [4]. Les débits mobiles réels mesurés sont souvent inférieurs aux débits annoncés par les opérateurs, et l'écart entre le débit théorique et le débit pratique pendant les heures chargées peut atteindre 70 %. Cette dégradation cyclique, prévisible mais difficile à anticiper pour le protocole de transport, est une caractéristique centrale de la classe de liens étudiée.</w:t>
      </w:r>
    </w:p>
    <w:p>
      <w:pPr>
        <w:spacing w:after="0" w:line="360"/>
        <w:ind w:firstLine="709"/>
        <w:jc w:val="both"/>
      </w:pPr>
      <w:r>
        <w:t xml:space="preserve">Starlink a introduit une alternative satellitaire en orbite basse. Le matériel coûte 1 120 000 MGA et l'abonnement résidentiel 226 000 MGA par mois [12], avec un forfait Résidentiel Lite à 136 000 MGA [13]. Les frais d'activation atteignent 1 140 000 MGA [14] et le kit standard motorisé 1 580 000 Ar [15]. Le kit mini dish est à 900 000 Ar. La connectivité performante reste un bien coûteux. Dans un environnement où le coût unitaire de la donnée est élevé, chaque octet retransmis coûte de l'argent. Pour un ménage au revenu mensuel médian de 200 000 MGA, un abonnement Starlink à 136 000 MGA représente les deux tiers du budget, ce qui le place hors de portée pour la majorité de la population.</w:t>
      </w:r>
    </w:p>
    <w:p>
      <w:pPr>
        <w:keepNext/>
        <w:spacing w:after="60" w:before="240" w:line="276"/>
        <w:jc w:val="center"/>
      </w:pPr>
      <w:r>
        <w:rPr>
          <w:i/>
          <w:iCs/>
          <w:sz w:val="22"/>
          <w:szCs w:val="22"/>
        </w:rPr>
        <w:t xml:space="preserve">Tableau </w:t>
      </w:r>
      <w:bookmarkStart w:name="RefTab_liens" w:id="1"/>
      <w:fldSimple w:instr="SEQ Tableau \* ARABIC">
        <w:r>
          <w:t xml:space="preserve">0</w:t>
        </w:r>
      </w:fldSimple>
      <w:bookmarkEnd w:id="1"/>
      <w:r>
        <w:rPr>
          <w:i/>
          <w:iCs/>
          <w:sz w:val="22"/>
          <w:szCs w:val="22"/>
        </w:rPr>
        <w:t xml:space="preserve"> – Synthèse des liens d'accès disponibles à Madagascar.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Lien</w:t>
            </w:r>
          </w:p>
        </w:tc>
        <w:tc>
          <w:tcPr>
            <w:tcW w:type="pct" w:w="17%"/>
            <w:shd w:fill="E7E6E6" w:val="clear"/>
            <w:tcMar>
              <w:top w:type="dxa" w:w="60"/>
              <w:left w:type="dxa" w:w="100"/>
              <w:bottom w:type="dxa" w:w="60"/>
              <w:right w:type="dxa" w:w="100"/>
            </w:tcMar>
            <w:vAlign w:val="center"/>
          </w:tcPr>
          <w:p>
            <w:pPr>
              <w:spacing w:after="0" w:line="240"/>
              <w:jc w:val="center"/>
            </w:pPr>
            <w:r>
              <w:rPr>
                <w:b/>
                <w:bCs/>
                <w:sz w:val="22"/>
                <w:szCs w:val="22"/>
              </w:rPr>
              <w:t xml:space="preserve">Débit typique</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RTT typique</w:t>
            </w:r>
          </w:p>
        </w:tc>
        <w:tc>
          <w:tcPr>
            <w:tcW w:type="pct" w:w="21%"/>
            <w:shd w:fill="E7E6E6" w:val="clear"/>
            <w:tcMar>
              <w:top w:type="dxa" w:w="60"/>
              <w:left w:type="dxa" w:w="100"/>
              <w:bottom w:type="dxa" w:w="60"/>
              <w:right w:type="dxa" w:w="100"/>
            </w:tcMar>
            <w:vAlign w:val="center"/>
          </w:tcPr>
          <w:p>
            <w:pPr>
              <w:spacing w:after="0" w:line="240"/>
              <w:jc w:val="center"/>
            </w:pPr>
            <w:r>
              <w:rPr>
                <w:b/>
                <w:bCs/>
                <w:sz w:val="22"/>
                <w:szCs w:val="22"/>
              </w:rPr>
              <w:t xml:space="preserve">Coût mensuel (MGA)</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Couverture</w:t>
            </w:r>
          </w:p>
        </w:tc>
        <w:tc>
          <w:tcPr>
            <w:tcW w:type="pct" w:w="13%"/>
            <w:shd w:fill="E7E6E6" w:val="clear"/>
            <w:tcMar>
              <w:top w:type="dxa" w:w="60"/>
              <w:left w:type="dxa" w:w="100"/>
              <w:bottom w:type="dxa" w:w="60"/>
              <w:right w:type="dxa" w:w="100"/>
            </w:tcMar>
            <w:vAlign w:val="center"/>
          </w:tcPr>
          <w:p>
            <w:pPr>
              <w:spacing w:after="0" w:line="240"/>
              <w:jc w:val="center"/>
            </w:pPr>
            <w:r>
              <w:rPr>
                <w:b/>
                <w:bCs/>
                <w:sz w:val="22"/>
                <w:szCs w:val="22"/>
              </w:rPr>
              <w:t xml:space="preserve">Source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4G prépayé</w:t>
            </w:r>
          </w:p>
        </w:tc>
        <w:tc>
          <w:tcPr>
            <w:tcW w:type="pct" w:w="17%"/>
            <w:tcMar>
              <w:top w:type="dxa" w:w="60"/>
              <w:left w:type="dxa" w:w="100"/>
              <w:bottom w:type="dxa" w:w="60"/>
              <w:right w:type="dxa" w:w="100"/>
            </w:tcMar>
            <w:vAlign w:val="center"/>
          </w:tcPr>
          <w:p>
            <w:pPr>
              <w:spacing w:after="0" w:line="240"/>
              <w:jc w:val="left"/>
            </w:pPr>
            <w:r>
              <w:rPr>
                <w:b w:val="false"/>
                <w:bCs w:val="false"/>
                <w:sz w:val="22"/>
                <w:szCs w:val="22"/>
              </w:rPr>
              <w:t xml:space="preserve">5 à 20 Mbit/s</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50 à 150 ms</w:t>
            </w:r>
          </w:p>
        </w:tc>
        <w:tc>
          <w:tcPr>
            <w:tcW w:type="pct" w:w="21%"/>
            <w:tcMar>
              <w:top w:type="dxa" w:w="60"/>
              <w:left w:type="dxa" w:w="100"/>
              <w:bottom w:type="dxa" w:w="60"/>
              <w:right w:type="dxa" w:w="100"/>
            </w:tcMar>
            <w:vAlign w:val="center"/>
          </w:tcPr>
          <w:p>
            <w:pPr>
              <w:spacing w:after="0" w:line="240"/>
              <w:jc w:val="left"/>
            </w:pPr>
            <w:r>
              <w:rPr>
                <w:b w:val="false"/>
                <w:bCs w:val="false"/>
                <w:sz w:val="22"/>
                <w:szCs w:val="22"/>
              </w:rPr>
              <w:t xml:space="preserve">30 000 (1 à 2 Go)</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34,6 % pop.</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[1][3][5]</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VSAT</w:t>
            </w:r>
          </w:p>
        </w:tc>
        <w:tc>
          <w:tcPr>
            <w:tcW w:type="pct" w:w="17%"/>
            <w:tcMar>
              <w:top w:type="dxa" w:w="60"/>
              <w:left w:type="dxa" w:w="100"/>
              <w:bottom w:type="dxa" w:w="60"/>
              <w:right w:type="dxa" w:w="100"/>
            </w:tcMar>
            <w:vAlign w:val="center"/>
          </w:tcPr>
          <w:p>
            <w:pPr>
              <w:spacing w:after="0" w:line="240"/>
              <w:jc w:val="left"/>
            </w:pPr>
            <w:r>
              <w:rPr>
                <w:b w:val="false"/>
                <w:bCs w:val="false"/>
                <w:sz w:val="22"/>
                <w:szCs w:val="22"/>
              </w:rPr>
              <w:t xml:space="preserve">1 à 10 Mbit/s</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600 ms</w:t>
            </w:r>
          </w:p>
        </w:tc>
        <w:tc>
          <w:tcPr>
            <w:tcW w:type="pct" w:w="21%"/>
            <w:tcMar>
              <w:top w:type="dxa" w:w="60"/>
              <w:left w:type="dxa" w:w="100"/>
              <w:bottom w:type="dxa" w:w="60"/>
              <w:right w:type="dxa" w:w="100"/>
            </w:tcMar>
            <w:vAlign w:val="center"/>
          </w:tcPr>
          <w:p>
            <w:pPr>
              <w:spacing w:after="0" w:line="240"/>
              <w:jc w:val="left"/>
            </w:pPr>
            <w:r>
              <w:rPr>
                <w:b w:val="false"/>
                <w:bCs w:val="false"/>
                <w:sz w:val="22"/>
                <w:szCs w:val="22"/>
              </w:rPr>
              <w:t xml:space="preserve">Variable</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Zones non couvertes</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[4]</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Fibre opérateur</w:t>
            </w:r>
          </w:p>
        </w:tc>
        <w:tc>
          <w:tcPr>
            <w:tcW w:type="pct" w:w="17%"/>
            <w:tcMar>
              <w:top w:type="dxa" w:w="60"/>
              <w:left w:type="dxa" w:w="100"/>
              <w:bottom w:type="dxa" w:w="60"/>
              <w:right w:type="dxa" w:w="100"/>
            </w:tcMar>
            <w:vAlign w:val="center"/>
          </w:tcPr>
          <w:p>
            <w:pPr>
              <w:spacing w:after="0" w:line="240"/>
              <w:jc w:val="left"/>
            </w:pPr>
            <w:r>
              <w:rPr>
                <w:b w:val="false"/>
                <w:bCs w:val="false"/>
                <w:sz w:val="22"/>
                <w:szCs w:val="22"/>
              </w:rPr>
              <w:t xml:space="preserve">50 à 200 Mbit/s</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&lt; 20 ms</w:t>
            </w:r>
          </w:p>
        </w:tc>
        <w:tc>
          <w:tcPr>
            <w:tcW w:type="pct" w:w="21%"/>
            <w:tcMar>
              <w:top w:type="dxa" w:w="60"/>
              <w:left w:type="dxa" w:w="100"/>
              <w:bottom w:type="dxa" w:w="60"/>
              <w:right w:type="dxa" w:w="100"/>
            </w:tcMar>
            <w:vAlign w:val="center"/>
          </w:tcPr>
          <w:p>
            <w:pPr>
              <w:spacing w:after="0" w:line="240"/>
              <w:jc w:val="left"/>
            </w:pPr>
            <w:r>
              <w:rPr>
                <w:b w:val="false"/>
                <w:bCs w:val="false"/>
                <w:sz w:val="22"/>
                <w:szCs w:val="22"/>
              </w:rPr>
              <w:t xml:space="preserve">Contrat entreprise</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Villes principales</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[20][21]</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Starlink LEO</w:t>
            </w:r>
          </w:p>
        </w:tc>
        <w:tc>
          <w:tcPr>
            <w:tcW w:type="pct" w:w="17%"/>
            <w:tcMar>
              <w:top w:type="dxa" w:w="60"/>
              <w:left w:type="dxa" w:w="100"/>
              <w:bottom w:type="dxa" w:w="60"/>
              <w:right w:type="dxa" w:w="100"/>
            </w:tcMar>
            <w:vAlign w:val="center"/>
          </w:tcPr>
          <w:p>
            <w:pPr>
              <w:spacing w:after="0" w:line="240"/>
              <w:jc w:val="left"/>
            </w:pPr>
            <w:r>
              <w:rPr>
                <w:b w:val="false"/>
                <w:bCs w:val="false"/>
                <w:sz w:val="22"/>
                <w:szCs w:val="22"/>
              </w:rPr>
              <w:t xml:space="preserve">50 à 220 Mbit/s</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25 à 50 ms</w:t>
            </w:r>
          </w:p>
        </w:tc>
        <w:tc>
          <w:tcPr>
            <w:tcW w:type="pct" w:w="21%"/>
            <w:tcMar>
              <w:top w:type="dxa" w:w="60"/>
              <w:left w:type="dxa" w:w="100"/>
              <w:bottom w:type="dxa" w:w="60"/>
              <w:right w:type="dxa" w:w="100"/>
            </w:tcMar>
            <w:vAlign w:val="center"/>
          </w:tcPr>
          <w:p>
            <w:pPr>
              <w:spacing w:after="0" w:line="240"/>
              <w:jc w:val="left"/>
            </w:pPr>
            <w:r>
              <w:rPr>
                <w:b w:val="false"/>
                <w:bCs w:val="false"/>
                <w:sz w:val="22"/>
                <w:szCs w:val="22"/>
              </w:rPr>
              <w:t xml:space="preserve">136 000 à 226 000</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National</w:t>
            </w:r>
          </w:p>
        </w:tc>
        <w:tc>
          <w:tcPr>
            <w:tcW w:type="pct" w:w="13%"/>
            <w:tcMar>
              <w:top w:type="dxa" w:w="60"/>
              <w:left w:type="dxa" w:w="100"/>
              <w:bottom w:type="dxa" w:w="60"/>
              <w:right w:type="dxa" w:w="100"/>
            </w:tcMar>
            <w:vAlign w:val="center"/>
          </w:tcPr>
          <w:p>
            <w:pPr>
              <w:spacing w:after="0" w:line="240"/>
              <w:jc w:val="left"/>
            </w:pPr>
            <w:r>
              <w:rPr>
                <w:b w:val="false"/>
                <w:bCs w:val="false"/>
                <w:sz w:val="22"/>
                <w:szCs w:val="22"/>
              </w:rPr>
              <w:t xml:space="preserve">[12] à [15]</w:t>
            </w:r>
          </w:p>
        </w:tc>
      </w:tr>
    </w:tbl>
    <w:p>
      <w:pPr>
        <w:spacing w:after="240" w:line="240"/>
      </w:pPr>
    </w:p>
    <w:p>
      <w:pPr>
        <w:spacing w:after="0" w:line="360"/>
        <w:ind w:firstLine="709"/>
        <w:jc w:val="both"/>
      </w:pPr>
      <w:r>
        <w:t xml:space="preserve">Le </w:t>
      </w:r>
      <w:r>
        <w:t xml:space="preserve">Tableau </w:t>
      </w:r>
      <w:fldSimple w:instr="REF RefTab_liens \h">
        <w:r>
          <w:t xml:space="preserve">0</w:t>
        </w:r>
      </w:fldSimple>
      <w:r>
        <w:t xml:space="preserve"> résume les quatre catégories de liens. Chaque technologie occupe un segment différent du compromis coût-débit-latence-couverture. La 4G prépayée est la plus accessible géographiquement et financièrement, mais elle souffre d'une variabilité de débit et d'une latence qui se dégrade avec l'encombrement. Le VSAT couvre les zones blanches au prix d'une latence très élevée. La fibre concerne les entreprises et les institutions dans les grandes villes. Starlink offre le meilleur compromis débit-latence mais à un coût d'entrée dissuasif pour un usage individuel.</w:t>
      </w:r>
    </w:p>
    <w:p>
      <w:pPr>
        <w:spacing w:after="0" w:line="360"/>
        <w:ind w:firstLine="709"/>
        <w:jc w:val="both"/>
      </w:pPr>
      <w:r>
        <w:t xml:space="preserve">Cette cartographie a une conséquence directe sur la conception du dispositif expérimental. La classe de liens à caractériser en priorité est le lien 4G prépayé, parce qu'il concentre la majorité des usages réels et cumule les trois propriétés qui motivent le travail : latence variable, capacité qui s'effondre et coût par octet élevé. Le profil VSAT est retenu comme cas limite de propagation (600 ms), et la fibre comme référence de lien peu contraint. Ces trois profils structurent la matrice expérimentale présentée dans la cinquième partie.</w:t>
      </w:r>
    </w:p>
    <w:p>
      <w:pPr>
        <w:pStyle w:val="Heading3"/>
        <w:keepNext/>
        <w:spacing w:after="160" w:before="280" w:line="360"/>
      </w:pPr>
      <w:r>
        <w:t xml:space="preserve">2.1.2 Coût et pouvoir d'achat</w:t>
      </w:r>
    </w:p>
    <w:p>
      <w:pPr>
        <w:spacing w:after="0" w:line="360"/>
        <w:ind w:firstLine="709"/>
        <w:jc w:val="both"/>
      </w:pPr>
      <w:r>
        <w:t xml:space="preserve">Un lien de « classe malgache » est un lien hautement asymétrique en coût : la latence ajoutée par la congestion se traduit en argent (retransmissions, octets gaspillés, temps d'attente) pour un usager dont le budget de données est limité. Cela le distingue des pays où l'accès est forfaitaire illimité. Le projet prend cette dimension économique en compte dans les métriques, avec les octets gaspillés comme indicateur secondaire. Cette métrique relie directement la performance technique à l'impact financier pour l'usager, ce qui est rare dans la littérature sur la congestion où le coût du gaspillage est rarement quantifié.</w:t>
      </w:r>
    </w:p>
    <w:p>
      <w:pPr>
        <w:spacing w:after="0" w:line="360"/>
        <w:ind w:firstLine="709"/>
        <w:jc w:val="both"/>
      </w:pPr>
      <w:r>
        <w:t xml:space="preserve">L'ordre de grandeur mérite d'être posé. Un forfait prépayé courant coûte environ 30 000 MGA pour un à deux gigaoctets, soit un coût unitaire de 15 000 à 30 000 MGA par gigaoctet. Un flux TCP qui subit un épisode de bufferbloat sévère peut retransmettre plusieurs dizaines de kilooctets par événement de congestion ; répété sur des dizaines d'événements quotidiens aux heures de pointe, ce gaspillage se chiffre en centaines de mégaoctets par mois, soit une fraction tangible du forfait. La cinquième partie convertit systématiquement les octets gaspillés mesurés en ariary par heure, ce qui rend le résultat directement interprétable par un usager ou un décideur local.</w:t>
      </w:r>
    </w:p>
    <w:p>
      <w:pPr>
        <w:spacing w:after="0" w:line="360"/>
        <w:ind w:firstLine="709"/>
        <w:jc w:val="both"/>
      </w:pPr>
      <w:r>
        <w:t xml:space="preserve">Cette contrainte économique modifie les hypothèses de conception par rapport aux travaux menés dans des pays où l'accès est forfaitaire et illimité. Dans ces contextes, une retransmission supplémentaire ne coûte rien à l'usager ; à Madagascar, elle consomme un volume qui a été payé. La métrique d'octets gaspillés devient ainsi un indicateur économique direct. Les résultats des expériences seront interprétés non seulement en termes de performance réseau, mais aussi en termes de coût évité pour l'usager.</w:t>
      </w:r>
    </w:p>
    <w:p>
      <w:pPr>
        <w:pStyle w:val="Heading3"/>
        <w:keepNext/>
        <w:spacing w:after="160" w:before="280" w:line="360"/>
      </w:pPr>
      <w:r>
        <w:t xml:space="preserve">2.1.3 Contraintes opérationnelles</w:t>
      </w:r>
    </w:p>
    <w:p>
      <w:pPr>
        <w:spacing w:after="0" w:line="360"/>
        <w:ind w:firstLine="709"/>
        <w:jc w:val="both"/>
      </w:pPr>
      <w:r>
        <w:t xml:space="preserve">Deux contraintes pèsent sur toute instrumentation. La première est énergétique. La JIRAMA publie des prévisions de coupures [16]. L'année 2025 a vu une intensification du délestage à Antananarivo [18], aggravée par la sécheresse qui a réduit la production du barrage d'Andekaleka [17]. La Banque Mondiale alerte sur un risque accru en 2025 et 2026 [19]. Les coupures durent de quelques heures à une journée et surviennent sans préavis fiable.</w:t>
      </w:r>
    </w:p>
    <w:p>
      <w:pPr>
        <w:spacing w:after="0" w:line="360"/>
        <w:ind w:firstLine="709"/>
        <w:jc w:val="both"/>
      </w:pPr>
      <w:r>
        <w:t xml:space="preserve">Un dispositif de mesure déployé dans ces conditions doit survivre à des interruptions brutales sans perdre les données en cours. Cela implique une architecture avec détection de coupure, sauvegarde d'état et reprise automatique. L'alimentation par batterie ou onduleur peut couvrir des coupures courtes, mais une stratégie de point de reprise (checkpoint) est nécessaire pour les coupures longues. Les données collectées avant l'interruption ne doivent pas être perdues, ce qui impose un mécanisme d'écriture atomique et de vérification d'intégrité au redémarrage.</w:t>
      </w:r>
    </w:p>
    <w:p>
      <w:pPr>
        <w:spacing w:after="0" w:line="360"/>
        <w:ind w:firstLine="709"/>
        <w:jc w:val="both"/>
      </w:pPr>
      <w:r>
        <w:t xml:space="preserve">La seconde contrainte est la variabilité radio. La liaison 4G présente une variation diurne marquée : la capacité mesurée en journée diffère de celle observée en soirée. La gigue et les pertes sporadiques sont la norme. Cette variabilité n'est pas un artefact de mesure : c'est une propriété du canal hertzien partagé, influencée par la distance à l'antenne, la météo, le nombre d'usagers et les interférences. Ces deux contraintes définissent les profils expérimentaux (effondrement diurne, contexte avec pertes et gigue) et les exigences de robustesse (hors ligne, reprise, écriture atomique) que l'instrument devra satisfaire.</w:t>
      </w:r>
    </w:p>
    <w:p>
      <w:pPr>
        <w:pStyle w:val="Heading3"/>
        <w:keepNext/>
        <w:spacing w:after="160" w:before="280" w:line="360"/>
      </w:pPr>
      <w:r>
        <w:t xml:space="preserve">2.1.4 Cadre réglementaire</w:t>
      </w:r>
    </w:p>
    <w:p>
      <w:pPr>
        <w:spacing w:after="0" w:line="360"/>
        <w:ind w:firstLine="709"/>
        <w:jc w:val="both"/>
      </w:pPr>
      <w:r>
        <w:t xml:space="preserve">L'ARTEC régule les télécommunications et les TIC à Madagascar [20]. Elle octroie les licences, reçoit les déclarations des opérateurs et délivre les agréments [28]. Elle publie un observatoire du marché [21] et un observatoire des infrastructures [22]. Elle participe au réseau FRATEL, dans le cadre duquel elle a répondu à un questionnaire sur la couverture et la qualité de service mobile [23]. Le rôle de l'ARTEC est central dans le suivi des obligations de couverture des opérateurs, même si les données publiées n'offrent pas une granularité suffisante pour évaluer la qualité de service perçue par l'usager.</w:t>
      </w:r>
    </w:p>
    <w:p>
      <w:pPr>
        <w:spacing w:after="0" w:line="360"/>
        <w:ind w:firstLine="709"/>
        <w:jc w:val="both"/>
      </w:pPr>
      <w:r>
        <w:t xml:space="preserve">Deux points réglementaires concernent le projet. Les équipements terminaux doivent être homologués avant commercialisation. L'ARTEC publie la liste des matériels agréés [24], et l'homologation RF est obligatoire [25]. Dans le projet, le modem 4G est acquis localement auprès d'un distributeur agréé, ou remplacé par le partage de connexion d'un téléphone déjà homologué. La loi n° 2014-038 sur la protection des données [26][27] est respectée par construction : les captures portent sur du trafic synthétique, sans données d'usagers tiers. L'activité étant académique et passive, elle ne relève ni d'une étude d'impact environnemental auprès de l'ONE, ni d'un enregistrement d'investissement à l'EDBM. Le protocole expérimental respecte donc l'ensemble des exigences légales applicables sans nécessiter d'autorisation supplémentaire.</w:t>
      </w:r>
    </w:p>
    <w:p>
      <w:pPr>
        <w:pStyle w:val="Heading2"/>
        <w:keepNext/>
        <w:spacing w:after="200" w:before="360" w:line="360"/>
      </w:pPr>
      <w:r>
        <w:t xml:space="preserve">2.2 Travaux connexes</w:t>
      </w:r>
    </w:p>
    <w:p>
      <w:pPr>
        <w:spacing w:after="0" w:line="360"/>
        <w:ind w:firstLine="709"/>
        <w:jc w:val="both"/>
      </w:pPr>
      <w:r>
        <w:t xml:space="preserve">L'état de l'art pertinent pour ce travail se répartit en trois champs : la mesure du bufferbloat, qui fournit les instruments et les métriques de référence ; l'adaptation de débit, qui fournit les comparateurs opérationnels du bras adaptatif ; et la culture de reproductibilité des conférences de mesure, qui fournit les exigences méthodologiques. Chaque champ est examiné pour ce qu'il apporte et pour la lacune qu'il laisse ouverte.</w:t>
      </w:r>
    </w:p>
    <w:p>
      <w:pPr>
        <w:pStyle w:val="Heading3"/>
        <w:keepNext/>
        <w:spacing w:after="160" w:before="280" w:line="360"/>
      </w:pPr>
      <w:r>
        <w:t xml:space="preserve">2.2.1 Mesure du bufferbloat</w:t>
      </w:r>
    </w:p>
    <w:p>
      <w:pPr>
        <w:spacing w:after="0" w:line="360"/>
        <w:ind w:firstLine="709"/>
        <w:jc w:val="both"/>
      </w:pPr>
      <w:r>
        <w:t xml:space="preserve">Le bufferbloat a été identifié et nommé par Gettys et Nichols [34] : des files d'attente surdimensionnées, placées dans les équipements d'accès, accumulent des paquets pendant les périodes de charge et ajoutent des centaines de millisecondes de délai sans produire de perte. Le phénomène est resté longtemps invisible parce que les métriques usuelles (débit, taux de perte) ne le capturent pas : seule la mesure de la latence sous charge le révèle. La réponse algorithmique est venue de Nichols et Jacobson avec CoDel [33][31], puis de sa variante à répartition par flux fq_codel [30], standardisées par l'IETF [32].</w:t>
      </w:r>
    </w:p>
    <w:p>
      <w:pPr>
        <w:spacing w:after="0" w:line="360"/>
        <w:ind w:firstLine="709"/>
        <w:jc w:val="both"/>
      </w:pPr>
      <w:r>
        <w:t xml:space="preserve">La mesure du bufferbloat s'est structurée autour d'outils composables. Flent, développé par Høiland-Jørgensen [43][44], orchestre plusieurs instances de netperf, iperf et ping et agrège les résultats en séries reproductibles. Il permet des tests combinés (flux TCP de fond avec sondes ping, ou flux UDP avec mesure de pertes) et produit des graphiques de débit et de latence au cours du temps. Flent a été utilisé dans les études fondatrices sur l'impact du bufferbloat sur la navigation web et le streaming vidéo.</w:t>
      </w:r>
    </w:p>
    <w:p>
      <w:pPr>
        <w:spacing w:after="0" w:line="360"/>
        <w:ind w:firstLine="709"/>
        <w:jc w:val="both"/>
      </w:pPr>
      <w:r>
        <w:t xml:space="preserve">Flent standardise la procédure de test et réduit la variabilité liée à l'orchestration manuelle. Il a été utilisé dans de nombreuses études sur le bufferbloat et la comparaison d'algorithmes AQM. Les études de Høiland-Jørgensen et al. sur CAKE et fq_codel [38] ont démontré l'efficacité des disciplines de file modernes pour réduire la latence de file. Mais les instruments comme Flent mesurent des liens réels dont la vérité terrain (instant exact de début de congestion, capacité à chaque instant) est inconnue : ils observent des symptômes, pas des événements datés. C'est la limite que ce travail cherche à combler en fournissant une vérité terrain contrôlée.</w:t>
      </w:r>
    </w:p>
    <w:p>
      <w:pPr>
        <w:spacing w:after="0" w:line="360"/>
        <w:ind w:firstLine="709"/>
        <w:jc w:val="both"/>
      </w:pPr>
      <w:r>
        <w:t xml:space="preserve">Dans la littérature récente, plusieurs travaux ont cherché à caractériser le bufferbloat sur des liens mobiles. Les études mesurant le RTT sur des réseaux 4G dans différentes régions du monde montrent que le phénomène est particulièrement prononcé sur les liaisons asymétriques et dans les zones où la capacité radio est partagée entre de nombreux usagers. Ces travaux confirment que le bufferbloat n'est pas un artefact de laboratoire mais une propriété récurrente des réseaux d'accès mobiles. Cependant, aucun de ces travaux ne dispose d'une vérité terrain qui permette d'isoler la contribution de la congestion de celle des autres sources de variation du RTT.</w:t>
      </w:r>
    </w:p>
    <w:p>
      <w:pPr>
        <w:keepNext/>
        <w:spacing w:after="60" w:before="240" w:line="240"/>
        <w:jc w:val="center"/>
      </w:pPr>
      <w:r>
        <w:drawing>
          <wp:inline distT="0" distB="0" distL="0" distR="0">
            <wp:extent cx="57531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53100" cy="3067050"/>
                    </a:xfrm>
                    <a:prstGeom prst="rect">
                      <a:avLst/>
                    </a:prstGeom>
                  </pic:spPr>
                </pic:pic>
              </a:graphicData>
            </a:graphic>
          </wp:inline>
        </w:drawing>
      </w:r>
    </w:p>
    <w:p>
      <w:pPr>
        <w:spacing w:after="240" w:before="0" w:line="276"/>
        <w:jc w:val="center"/>
      </w:pPr>
      <w:r>
        <w:rPr>
          <w:i/>
          <w:iCs/>
          <w:sz w:val="22"/>
          <w:szCs w:val="22"/>
        </w:rPr>
        <w:t xml:space="preserve">Figure </w:t>
      </w:r>
      <w:bookmarkStart w:name="RefFig_rttphases" w:id="1"/>
      <w:fldSimple w:instr="SEQ Figure \* ARABIC">
        <w:r>
          <w:t xml:space="preserve">0</w:t>
        </w:r>
      </w:fldSimple>
      <w:bookmarkEnd w:id="1"/>
      <w:r>
        <w:rPr>
          <w:i/>
          <w:iCs/>
          <w:sz w:val="22"/>
          <w:szCs w:val="22"/>
        </w:rPr>
        <w:t xml:space="preserve"> – Décomposition du RTT sur un lien contraint : phases normale, de bufferbloat et de récupération.</w:t>
      </w:r>
    </w:p>
    <w:p>
      <w:pPr>
        <w:spacing w:after="0" w:line="360"/>
        <w:ind w:firstLine="709"/>
        <w:jc w:val="both"/>
      </w:pPr>
      <w:r>
        <w:t xml:space="preserve">La </w:t>
      </w:r>
      <w:r>
        <w:t xml:space="preserve">Figure </w:t>
      </w:r>
      <w:fldSimple w:instr="REF RefFig_rttphases \h">
        <w:r>
          <w:t xml:space="preserve">0</w:t>
        </w:r>
      </w:fldSimple>
      <w:r>
        <w:t xml:space="preserve"> illustre le phénomène que les détecteurs devront capter : un lien au repos présente un RTT stable proche du délai de propagation ; lorsque la charge sature le goulot, la file se constitue et le RTT s'élève de plusieurs centaines de millisecondes ; lorsque la charge cesse ou que la gestion active de file intervient, le RTT redescend en quelques secondes. La détection précoce consiste à repérer la transition entre la première et la deuxième phase le plus tôt possible, avant que la file ne soit pleinement constituée.</w:t>
      </w:r>
    </w:p>
    <w:p>
      <w:pPr>
        <w:pStyle w:val="Heading3"/>
        <w:keepNext/>
        <w:spacing w:after="160" w:before="280" w:line="360"/>
      </w:pPr>
      <w:r>
        <w:t xml:space="preserve">2.2.2 Adaptation de débit et réglage adaptatif</w:t>
      </w:r>
    </w:p>
    <w:p>
      <w:pPr>
        <w:spacing w:after="0" w:line="360"/>
        <w:ind w:firstLine="709"/>
        <w:jc w:val="both"/>
      </w:pPr>
      <w:r>
        <w:t xml:space="preserve">Les projets d'adaptation automatique de débit ajustent la capacité façonnée à partir de la latence observée. Smart Queue Management (SQM) dans OpenWrt ou les scripts d'ajustement dynamique modifient les paramètres de façonnage en fonction des conditions. Le principe est le suivant : si la latence dépasse un seuil, le débit est réduit ; si elle revient à un niveau acceptable, il est augmenté. D'autres approches, comme le contrôle adaptatif de bande passante proposé dans certains travaux sur les réseaux longue distance, utilisent une boucle de rétroaction proportionnelle-intégrale (PI) pour ajuster le débit de façon continue.</w:t>
      </w:r>
    </w:p>
    <w:p>
      <w:pPr>
        <w:spacing w:after="0" w:line="360"/>
        <w:ind w:firstLine="709"/>
        <w:jc w:val="both"/>
      </w:pPr>
      <w:r>
        <w:t xml:space="preserve">Ces outils sont des comparateurs opérationnels pour le bras adaptatif de E3. Mais leur évaluation repose sur l'observation en production, sans oracle. On valide par la diminution de latence, sans savoir si la réduction de débit était nécessaire ou excessive, puisque la capacité réelle est inconnue. Ce travail se situe en amont : il fournit la vérité terrain qui manque à ces évaluations, en contrôlant exactement la capacité et le trafic traversant dans un environnement émulé. Les résultats de E3 permettront de calibrer ces approches adaptatives avec une référence objective.</w:t>
      </w:r>
    </w:p>
    <w:p>
      <w:pPr>
        <w:pStyle w:val="Heading3"/>
        <w:keepNext/>
        <w:spacing w:after="160" w:before="280" w:line="360"/>
      </w:pPr>
      <w:r>
        <w:t xml:space="preserve">2.2.3 Reproductibilité et accord entre mesures</w:t>
      </w:r>
    </w:p>
    <w:p>
      <w:pPr>
        <w:spacing w:after="0" w:line="360"/>
        <w:ind w:firstLine="709"/>
        <w:jc w:val="both"/>
      </w:pPr>
      <w:r>
        <w:t xml:space="preserve">La culture de mesure (conférences PAM, IMC, TMA) impose des exigences standard : hypothèses pré-enregistrées, données archivées avec DOI, code de régénération des figures. Ces pratiques, inspirées de la crise de la réplication en psychologie, garantissent que les résultats sont vérifiables et que les conclusions ne dépendent pas de choix arbitraires dans le traitement. Le présent travail s'inscrit dans cette démarche : les scénarios de test, les paramètres de l'émulateur et le code d'analyse sont publiés avec un identifiant pérenne.</w:t>
      </w:r>
    </w:p>
    <w:p>
      <w:pPr>
        <w:spacing w:after="0" w:line="360"/>
        <w:ind w:firstLine="709"/>
        <w:jc w:val="both"/>
      </w:pPr>
      <w:r>
        <w:t xml:space="preserve">La validation des canaux de mesure utilise la méthode de Bland et Altman [45], développée pour la recherche clinique. Le graphique de Bland-Altman porte les différences entre deux mesures en ordonnée contre leurs moyennes en abscisse, avec les limites d'accord (moyenne des différences plus ou moins 1,96 écart-type). Ce cadre quantifie la concordance entre l'oracle et les instruments tiers (Flent, iperf3) et vérifie que les biais éventuels sont acceptables au regard des objectifs de l'étude. L'application de cette méthode à la validation d'instruments de mesure réseau est relativement récente et rare dans la littérature sur la congestion, où la validation se limite souvent à une comparaison visuelle des séries temporelles.</w:t>
      </w:r>
    </w:p>
    <w:p>
      <w:pPr>
        <w:spacing w:after="0" w:line="360"/>
        <w:ind w:firstLine="709"/>
        <w:jc w:val="both"/>
      </w:pPr>
      <w:r>
        <w:t xml:space="preserve">Trois lacunes ressortent de cet examen. Les instruments de mesure du bufferbloat observent des symptômes sans vérité terrain ; les systèmes adaptatifs sont évalués sans référence objective de capacité ; et la validation croisée quantitative entre canaux de mesure reste l'exception. L'instrument proposé dans ce mémoire répond simultanément aux trois : il date les événements par construction, il connaît la capacité imposée à chaque instant, et il réconcilie systématiquement ses mesures avec des instruments tiers.</w:t>
      </w:r>
    </w:p>
    <w:p>
      <w:pPr>
        <w:pStyle w:val="Heading2"/>
        <w:keepNext/>
        <w:spacing w:after="200" w:before="360" w:line="360"/>
      </w:pPr>
      <w:r>
        <w:t xml:space="preserve">2.3 Problématique et motivation</w:t>
      </w:r>
    </w:p>
    <w:p>
      <w:pPr>
        <w:spacing w:after="0" w:line="360"/>
        <w:ind w:firstLine="709"/>
        <w:jc w:val="both"/>
      </w:pPr>
      <w:r>
        <w:t xml:space="preserve">Les liens d'accès malgaches cumulent trois propriétés rarement réunies dans la littérature : un RTT élevé et variable (50 à 600 ms), une capacité qui s'effondre aux heures de pointe (perte de 50 à 80 %), et un coût par octet qui rend le gaspillage économiquement signifiant. Les études existantes mesurent ces liens sans vérité terrain : elles observent des symptômes sans pouvoir les rattacher à des événements datés. Les études d'émulation les modélisent sans les ancrer dans des profils réels. Ce double fossé est le point de départ du travail.</w:t>
      </w:r>
    </w:p>
    <w:p>
      <w:pPr>
        <w:spacing w:after="0" w:line="360"/>
        <w:ind w:firstLine="709"/>
        <w:jc w:val="both"/>
      </w:pPr>
      <w:r>
        <w:t xml:space="preserve">Trois questions de recherche en découlent, chacune correspondant à une expérience du protocole. RQ1 (détection, expérience E1) : sur un lien contraint en émulation contrôlée, quel détecteur repère le plus tôt le début réel de la congestion, à coût de faux positif égal ? Les cinq détecteurs sont comparés sur des scénarios dont le début est connu par construction grâce à l'oracle. La question porte sur le compromis précocité-fausses alarmes dans un environnement où le RTT de base est variable. L'hypothèse H1 est que le test K-S détecte la congestion significativement plus tôt que les méthodes à seuil fixe et à gradient, en particulier dans les scénarios de rampe progressive.</w:t>
      </w:r>
    </w:p>
    <w:p>
      <w:pPr>
        <w:spacing w:after="0" w:line="360"/>
        <w:ind w:firstLine="709"/>
        <w:jc w:val="both"/>
      </w:pPr>
      <w:r>
        <w:t xml:space="preserve">RQ2 (estimation, expérience E2) : avec quelle précision des sondes légères (paire de paquets, train de paquets) retrouvent-elles la bande passante disponible réelle d'un lien limité en débit, en fonction de l'intensité du trafic traversant ? La réponse fournit une courbe de calibration pour E3 et quantifie le biais et la variance de chaque sonde. L'hypothèse H2 est que la précision de l'estimation décroît avec le taux d'occupation du lien, et que la dispersion de paires surpasse le train de paquets aux faibles taux d'occupation.</w:t>
      </w:r>
    </w:p>
    <w:p>
      <w:pPr>
        <w:spacing w:after="0" w:line="360"/>
        <w:ind w:firstLine="709"/>
        <w:jc w:val="both"/>
      </w:pPr>
      <w:r>
        <w:t xml:space="preserve">RQ3 (atténuation, expérience E3) : un façonneur adaptatif déclenché par la détection fait-il mieux que des configurations statiques d'AQM en matière de dégradation de latence, temps de récupération et gaspillage de retransmission ? Le réglage par défaut (fq_codel) est la référence pratique. La question sous-jacente est de savoir s'il suffit déjà ou si une couche adaptative apporte un gain mesurable. La comparaison porte sur QDI, TTB, p95 de latence et indicateur VoIP. L'hypothèse H3 est que l'approche adaptative réduit à la fois le délai de file et les octets gaspillés par rapport aux configurations statiques, mais au prix d'une légère réduction du débit utile.</w:t>
      </w:r>
    </w:p>
    <w:p>
      <w:pPr>
        <w:keepNext/>
        <w:spacing w:after="60" w:before="240" w:line="276"/>
        <w:jc w:val="center"/>
      </w:pPr>
      <w:r>
        <w:rPr>
          <w:i/>
          <w:iCs/>
          <w:sz w:val="22"/>
          <w:szCs w:val="22"/>
        </w:rPr>
        <w:t xml:space="preserve">Tableau </w:t>
      </w:r>
      <w:bookmarkStart w:name="RefTab_rq" w:id="1"/>
      <w:fldSimple w:instr="SEQ Tableau \* ARABIC">
        <w:r>
          <w:t xml:space="preserve">0</w:t>
        </w:r>
      </w:fldSimple>
      <w:bookmarkEnd w:id="1"/>
      <w:r>
        <w:rPr>
          <w:i/>
          <w:iCs/>
          <w:sz w:val="22"/>
          <w:szCs w:val="22"/>
        </w:rPr>
        <w:t xml:space="preserve"> – Correspondance entre questions de recherche, expériences et hypothèses.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Question</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Objet</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Expérience</w:t>
            </w:r>
          </w:p>
        </w:tc>
        <w:tc>
          <w:tcPr>
            <w:tcW w:type="pct" w:w="44%"/>
            <w:shd w:fill="E7E6E6" w:val="clear"/>
            <w:tcMar>
              <w:top w:type="dxa" w:w="60"/>
              <w:left w:type="dxa" w:w="100"/>
              <w:bottom w:type="dxa" w:w="60"/>
              <w:right w:type="dxa" w:w="100"/>
            </w:tcMar>
            <w:vAlign w:val="center"/>
          </w:tcPr>
          <w:p>
            <w:pPr>
              <w:spacing w:after="0" w:line="240"/>
              <w:jc w:val="center"/>
            </w:pPr>
            <w:r>
              <w:rPr>
                <w:b/>
                <w:bCs/>
                <w:sz w:val="22"/>
                <w:szCs w:val="22"/>
              </w:rPr>
              <w:t xml:space="preserve">Hypothèse pré-enregistrée</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RQ1</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Détection précoce des événements de congestion</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E1 (204 onsets)</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H1 : le test K-S détecte plus tôt que le seuil fixe et le gradient, surtout sur les rampes</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RQ2</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Précision des sondes actives d’estimation</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E2 (concordance)</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H2 : la précision décroît avec l’occupation ; la paire de paquets domine à faible charge</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RQ3</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Gain du façonneur adaptatif face aux AQM statiques</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E3 (152 événements)</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H3 : l’adaptatif réduit délai de file et gaspillage, au prix d’un léger débit utile</w:t>
            </w:r>
          </w:p>
        </w:tc>
      </w:tr>
    </w:tbl>
    <w:p>
      <w:pPr>
        <w:spacing w:after="240" w:line="240"/>
      </w:pPr>
    </w:p>
    <w:p>
      <w:pPr>
        <w:spacing w:after="0" w:line="360"/>
        <w:ind w:firstLine="709"/>
        <w:jc w:val="both"/>
      </w:pPr>
      <w:r>
        <w:t xml:space="preserve">Le </w:t>
      </w:r>
      <w:r>
        <w:t xml:space="preserve">Tableau </w:t>
      </w:r>
      <w:fldSimple w:instr="REF RefTab_rq \h">
        <w:r>
          <w:t xml:space="preserve">0</w:t>
        </w:r>
      </w:fldSimple>
      <w:r>
        <w:t xml:space="preserve"> met en regard les trois questions, les trois expériences et les trois hypothèses. Chaque hypothèse est formulée de manière falsifiable : elle précise la direction attendue de l'effet et la condition dans laquelle il doit se manifester, de sorte qu'un résultat contraire soit interprétable comme une réfutation et non comme un échec de la mesure.</w:t>
      </w:r>
    </w:p>
    <w:p>
      <w:pPr>
        <w:spacing w:after="0" w:line="360"/>
        <w:ind w:firstLine="709"/>
        <w:jc w:val="both"/>
      </w:pPr>
      <w:r>
        <w:t xml:space="preserve">La motivation est triple. Scientifique : établir, sur une classe de liens sous-étudiée, des faits falsifiables plutôt que des observations symptomatiques. Les liens malgaches ne sont pas un cas exotique : ils représentent les conditions d'accès de plusieurs milliards d'utilisateurs dans le monde, dans les pays où la connectivité mobile est le mode d'accès principal et où le coût de la donnée représente une part significative du revenu. Méthodologique : fournir un protocole d'audit à vérité terrain, transférable à d'autres institutions. Le dispositif est conçu pour être reproductible (matériel spécifié, logiciels conteneurisés, procédures documentées, données archivées). Locale : doter l'écosystème malgache d'un outil pour confronter les déclarations de qualité de service des opérateurs à des mesures indépendantes. Dans un marché où l'information est asymétrique, un outil de mesure ouvert peut servir la transparence et servir de support pédagogique dans les universités.</w:t>
      </w:r>
    </w:p>
    <w:p>
      <w:pPr>
        <w:spacing w:after="0" w:line="360"/>
        <w:ind w:firstLine="709"/>
        <w:jc w:val="both"/>
      </w:pPr>
      <w:r>
        <w:t xml:space="preserve">Ces trois dimensions sont liées : la rigueur scientifique garantit la crédibilité des résultats, la démarche méthodologique assure leur transférabilité, et l'ancrage local donne au travail une utilité concrète au-delà de la publication académique. Chacune des trois questions de recherche est conçue pour produire des réponses qui servent à la fois la communauté scientifique et les acteurs locaux : un opérateur peut utiliser la méthode de détection pour diagnostiquer ses liens, un régulateur peut s'appuyer sur les résultats d'estimation pour évaluer la qualité de service déclarée, un étudiant peut reproduire les expériences dans le cadre de sa formation.</w:t>
      </w:r>
    </w:p>
    <w:p>
      <w:pPr>
        <w:spacing w:after="0" w:line="360"/>
        <w:ind w:firstLine="709"/>
        <w:jc w:val="both"/>
      </w:pPr>
      <w:r>
        <w:t xml:space="preserve">Les contributions attendues sont de trois ordres. Un jeu de données de validation contenant les séries temporelles de débit et de latence avec vérité terrain, pour les trois expériences. Une comparaison systématique des cinq détecteurs sur des profils de lien inspirés des conditions malgaches, avec une métrique de précocité conditionnelle au taux de faux positifs. Une évaluation du gain apporté par un façonneur adaptatif par rapport aux réglages statiques, avec une attention particulière au gaspillage de retransmission comme indicateur économique.</w:t>
      </w:r>
    </w:p>
    <w:p>
      <w:pPr>
        <w:spacing w:after="0" w:line="360"/>
        <w:ind w:firstLine="709"/>
        <w:jc w:val="both"/>
      </w:pPr>
      <w:r>
        <w:t xml:space="preserve">Ces trois questions appellent une méthode capable de produire des réponses falsifiables : c'est l'objet de la partie suivante, qui applique l'analyse de l'existant à l'environnement de mesure et fonde le choix de la solution.</w:t>
      </w:r>
    </w:p>
    <w:p>
      <w:pPr>
        <w:pStyle w:val="Heading1"/>
        <w:pageBreakBefore/>
        <w:spacing w:after="360" w:before="0" w:line="360"/>
        <w:jc w:val="center"/>
      </w:pPr>
      <w:r>
        <w:t xml:space="preserve">PARTIE III : MÉTHODOLOGIE, ANALYSE DE L'EXISTANT</w:t>
      </w:r>
    </w:p>
    <w:p>
      <w:pPr>
        <w:spacing w:after="0" w:line="360"/>
        <w:ind w:firstLine="709"/>
        <w:jc w:val="both"/>
      </w:pPr>
      <w:r>
        <w:t xml:space="preserve">La méthode retenue est l'analyse de l'existant, appliquée à l'environnement de mesure : elle précède et fonde la proposition de solutions et le choix de l'outil. Cette partie applique systématiquement les onze points de la méthode aux trois couches de l'environnement, puis en tire une synthèse critique qui débouche sur l'écart que la solution devra combler.</w:t>
      </w:r>
    </w:p>
    <w:p>
      <w:pPr>
        <w:pStyle w:val="Heading2"/>
        <w:keepNext/>
        <w:spacing w:after="200" w:before="360" w:line="360"/>
      </w:pPr>
      <w:r>
        <w:t xml:space="preserve">3.1 Cadre de l'analyse</w:t>
      </w:r>
    </w:p>
    <w:p>
      <w:pPr>
        <w:spacing w:after="0" w:line="360"/>
        <w:ind w:firstLine="709"/>
        <w:jc w:val="both"/>
      </w:pPr>
      <w:r>
        <w:t xml:space="preserve">L'analyse de l'existant est la discipline centrale de la méthode retenue. Elle consiste à inventorier, décrire et critiquer l'environnement dans lequel un projet s'inscrit, afin de dégager les insuffisances que la solution devra combler. Dans un projet de mesure réseau comme celui-ci, le mot « existant » désigne trois objets distincts : le terrain (les liens d'accès malgaches que l'on cherche à caractériser), l'état de l'art instrumental (les outils de mesure disponibles et leurs lacunes), et le banc expérimental (l'infrastructure dont on dispose pour produire des résultats contrôlés). Les onze points de la méthode sont appliqués systématiquement à ces trois couches.</w:t>
      </w:r>
    </w:p>
    <w:p>
      <w:pPr>
        <w:spacing w:after="0" w:line="360"/>
        <w:ind w:firstLine="709"/>
        <w:jc w:val="both"/>
      </w:pPr>
      <w:r>
        <w:t xml:space="preserve">L'application de la méthode d'analyse de l'existant à un objet de recherche présente une difficulté spécifique : alors que l'analyse de l'existant d'entreprise vise à inventorier un système existant dans l'objectif de le remplacer ou de le faire évoluer, l'analyse de l'existant d'un environnement de mesure vise à identifier les lacunes instrumentales que la solution devra combler. La nature de la « solution » est différente : ce n'est pas un nouveau système d'information, mais un nouvel instrument de mesure. La méthode reste valable, mais chaque point doit être réinterprété pour ce contexte, ce que le </w:t>
      </w:r>
      <w:r>
        <w:t xml:space="preserve">Tableau </w:t>
      </w:r>
      <w:fldSimple w:instr="REF RefTab_methode \h">
        <w:r>
          <w:t xml:space="preserve">0</w:t>
        </w:r>
      </w:fldSimple>
      <w:r>
        <w:t xml:space="preserve"> explicite.</w:t>
      </w:r>
    </w:p>
    <w:p>
      <w:pPr>
        <w:keepNext/>
        <w:spacing w:after="60" w:before="240" w:line="276"/>
        <w:jc w:val="center"/>
      </w:pPr>
      <w:r>
        <w:rPr>
          <w:i/>
          <w:iCs/>
          <w:sz w:val="22"/>
          <w:szCs w:val="22"/>
        </w:rPr>
        <w:t xml:space="preserve">Tableau </w:t>
      </w:r>
      <w:bookmarkStart w:name="RefTab_methode" w:id="1"/>
      <w:fldSimple w:instr="SEQ Tableau \* ARABIC">
        <w:r>
          <w:t xml:space="preserve">0</w:t>
        </w:r>
      </w:fldSimple>
      <w:bookmarkEnd w:id="1"/>
      <w:r>
        <w:rPr>
          <w:i/>
          <w:iCs/>
          <w:sz w:val="22"/>
          <w:szCs w:val="22"/>
        </w:rPr>
        <w:t xml:space="preserve"> – Correspondance entre les onze points de la méthode et les trois couches de l'environnement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Point de la méthode</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Couche concernée</w:t>
            </w:r>
          </w:p>
        </w:tc>
        <w:tc>
          <w:tcPr>
            <w:tcW w:type="pct" w:w="54%"/>
            <w:shd w:fill="E7E6E6" w:val="clear"/>
            <w:tcMar>
              <w:top w:type="dxa" w:w="60"/>
              <w:left w:type="dxa" w:w="100"/>
              <w:bottom w:type="dxa" w:w="60"/>
              <w:right w:type="dxa" w:w="100"/>
            </w:tcMar>
            <w:vAlign w:val="center"/>
          </w:tcPr>
          <w:p>
            <w:pPr>
              <w:spacing w:after="0" w:line="240"/>
              <w:jc w:val="center"/>
            </w:pPr>
            <w:r>
              <w:rPr>
                <w:b/>
                <w:bCs/>
                <w:sz w:val="22"/>
                <w:szCs w:val="22"/>
              </w:rPr>
              <w:t xml:space="preserve">Objet dans le travail</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 Topologie réseau</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Banc et terrain</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Topologie du banc (ns-A, goulot, ns-B) et lien 4G réel</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2. Type de réseau</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Terrain</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Lien émulé, lien 4G réel, profil VSAT</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3. Équipement d’interconnexion</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Banc</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Composants noyau : veth, netem, TBF, fq_codel</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4. Postes de travail</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Banc</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Machine virtuelle unique et machine hôte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5. Serveurs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Banc</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Binaire cgo-linux, serveur iperf3</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6. Gateways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Terrain et banc</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Modem 4G ou partage de connexion vers l’Internet</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7. Partage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Banc</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Archive reproductible : CSV, Zenodo, chaîne SHA-256</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8. Routage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Banc</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Épinglage de route vers le goulot, vérifié par la porte G2</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9. Disponibilité</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Terrain et banc</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Délestage JIRAMA, reprise sur incident, mode hors ligne</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10. Surveillance</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Banc</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Oracle tc -s, ping horodaté, TCP_INFO, tcpdump</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11. Analyse des trafics</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Terrain</w:t>
            </w:r>
          </w:p>
        </w:tc>
        <w:tc>
          <w:tcPr>
            <w:tcW w:type="pct" w:w="54%"/>
            <w:tcMar>
              <w:top w:type="dxa" w:w="60"/>
              <w:left w:type="dxa" w:w="100"/>
              <w:bottom w:type="dxa" w:w="60"/>
              <w:right w:type="dxa" w:w="100"/>
            </w:tcMar>
            <w:vAlign w:val="center"/>
          </w:tcPr>
          <w:p>
            <w:pPr>
              <w:spacing w:after="0" w:line="240"/>
              <w:jc w:val="left"/>
            </w:pPr>
            <w:r>
              <w:rPr>
                <w:b w:val="false"/>
                <w:bCs w:val="false"/>
                <w:sz w:val="22"/>
                <w:szCs w:val="22"/>
              </w:rPr>
              <w:t xml:space="preserve">Caractérisation 4G : profil diurne, RTT, pertes, coût</w:t>
            </w:r>
          </w:p>
        </w:tc>
      </w:tr>
    </w:tbl>
    <w:p>
      <w:pPr>
        <w:spacing w:after="240" w:line="240"/>
      </w:pPr>
    </w:p>
    <w:p>
      <w:pPr>
        <w:spacing w:after="0" w:line="360"/>
        <w:ind w:firstLine="709"/>
        <w:jc w:val="both"/>
      </w:pPr>
      <w:r>
        <w:t xml:space="preserve">Le </w:t>
      </w:r>
      <w:r>
        <w:t xml:space="preserve">Tableau </w:t>
      </w:r>
      <w:fldSimple w:instr="REF RefTab_methode \h">
        <w:r>
          <w:t xml:space="preserve">0</w:t>
        </w:r>
      </w:fldSimple>
      <w:r>
        <w:t xml:space="preserve"> présente la correspondance entre les onze points de la méthode et les trois couches de l'environnement de mesure. Cette correspondance explicite est une précaution méthodologique : elle évite que le lecteur ne projette sur le travail les attendus d'une analyse de l'existant d'entreprise (inventaire d'armoires, de câblage, d'annuaire) et reconnaisse au contraire une adaptation rigoureuse de la méthode à un objet de recherche. Chaque point est développé ci-dessous avec son tableau, une analyse de l'existant et une critique, selon la structure imposée par la méthode.</w:t>
      </w:r>
    </w:p>
    <w:p>
      <w:pPr>
        <w:pStyle w:val="Heading2"/>
        <w:keepNext/>
        <w:spacing w:after="200" w:before="360" w:line="360"/>
      </w:pPr>
      <w:r>
        <w:t xml:space="preserve">3.2 Application des onze points</w:t>
      </w:r>
    </w:p>
    <w:p>
      <w:pPr>
        <w:pStyle w:val="Heading3"/>
        <w:keepNext/>
        <w:spacing w:after="160" w:before="280" w:line="360"/>
      </w:pPr>
      <w:r>
        <w:t xml:space="preserve">3.2.1 Topologie réseau</w:t>
      </w:r>
    </w:p>
    <w:p>
      <w:pPr>
        <w:spacing w:after="0" w:line="360"/>
        <w:ind w:firstLine="709"/>
        <w:jc w:val="both"/>
      </w:pPr>
      <w:r>
        <w:t xml:space="preserve">Le banc expérimental comprend deux espaces de noms réseau, ns-A et ns-B, reliés par une paire veth nommée thesis-veth0 [51]. L'espace ns-A fait office d'émetteur : il héberge les générateurs de trafic (iperf3, BBR, CUBIC) et le binaire cgo-linux qui porte l'oracle, les détecteurs et le contrôleur adaptatif. L'espace ns-B est le récepteur et porte le serveur iperf3 ainsi que tcpdump [52] pour les captures de référence. Sur l'interface thesis-veth0, une pile de disciplines de file (qdisc) impose les caractéristiques du lien : netem pour le délai et la perte, TBF pour la limitation de débit, et fq_codel pour la gestion active de l'attente [49][50]. Les offloads matériels sont désactivés sur cette interface afin d'éviter que les optimisations de la carte réseau virtuelle ne masquent les effets de la congestion. La </w:t>
      </w:r>
      <w:r>
        <w:t xml:space="preserve">Figure </w:t>
      </w:r>
      <w:fldSimple w:instr="REF RefFig_banc \h">
        <w:r>
          <w:t xml:space="preserve">0</w:t>
        </w:r>
      </w:fldSimple>
      <w:r>
        <w:t xml:space="preserve"> présente cette topologie.</w:t>
      </w:r>
    </w:p>
    <w:p>
      <w:pPr>
        <w:keepNext/>
        <w:spacing w:after="60" w:before="240" w:line="240"/>
        <w:jc w:val="center"/>
      </w:pPr>
      <w:r>
        <w:drawing>
          <wp:inline distT="0" distB="0" distL="0" distR="0">
            <wp:extent cx="57531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3429000"/>
                    </a:xfrm>
                    <a:prstGeom prst="rect">
                      <a:avLst/>
                    </a:prstGeom>
                  </pic:spPr>
                </pic:pic>
              </a:graphicData>
            </a:graphic>
          </wp:inline>
        </w:drawing>
      </w:r>
    </w:p>
    <w:p>
      <w:pPr>
        <w:spacing w:after="240" w:before="0" w:line="276"/>
        <w:jc w:val="center"/>
      </w:pPr>
      <w:r>
        <w:rPr>
          <w:i/>
          <w:iCs/>
          <w:sz w:val="22"/>
          <w:szCs w:val="22"/>
        </w:rPr>
        <w:t xml:space="preserve">Figure </w:t>
      </w:r>
      <w:bookmarkStart w:name="RefFig_banc" w:id="1"/>
      <w:fldSimple w:instr="SEQ Figure \* ARABIC">
        <w:r>
          <w:t xml:space="preserve">0</w:t>
        </w:r>
      </w:fldSimple>
      <w:bookmarkEnd w:id="1"/>
      <w:r>
        <w:rPr>
          <w:i/>
          <w:iCs/>
          <w:sz w:val="22"/>
          <w:szCs w:val="22"/>
        </w:rPr>
        <w:t xml:space="preserve"> – Topologie du banc expérimental : espaces de noms, goulot façonné, canaux d'observation.</w:t>
      </w:r>
    </w:p>
    <w:p>
      <w:pPr>
        <w:spacing w:after="0" w:line="360"/>
        <w:ind w:firstLine="709"/>
        <w:jc w:val="both"/>
      </w:pPr>
      <w:r>
        <w:t xml:space="preserve">Deux canaux d'observation indépendants surveillent le goulot sans faire partie du chemin de données de la charge. Le premier est l'oracle noyau, qui lit les compteurs de file via tc -s class show à une fréquence de 10 Hz. Le second est un ping horodaté par le noyau à 5 Hz. À ces canaux s'ajoutent la covariable TCP_INFO lue à 1 Hz et la capture tcpdump complète. La couche de surveillance est donc triple : compteurs exacts (oracle), mesures indépendantes (ping), et archives brutes (tcpdump).</w:t>
      </w:r>
    </w:p>
    <w:p>
      <w:pPr>
        <w:keepNext/>
        <w:spacing w:after="60" w:before="240" w:line="276"/>
        <w:jc w:val="center"/>
      </w:pPr>
      <w:r>
        <w:rPr>
          <w:i/>
          <w:iCs/>
          <w:sz w:val="22"/>
          <w:szCs w:val="22"/>
        </w:rPr>
        <w:t xml:space="preserve">Tableau </w:t>
      </w:r>
      <w:bookmarkStart w:name="RefTab_topo" w:id="1"/>
      <w:fldSimple w:instr="SEQ Tableau \* ARABIC">
        <w:r>
          <w:t xml:space="preserve">0</w:t>
        </w:r>
      </w:fldSimple>
      <w:bookmarkEnd w:id="1"/>
      <w:r>
        <w:rPr>
          <w:i/>
          <w:iCs/>
          <w:sz w:val="22"/>
          <w:szCs w:val="22"/>
        </w:rPr>
        <w:t xml:space="preserve"> – Éléments de la topologie du banc.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Désignation</w:t>
            </w:r>
          </w:p>
        </w:tc>
        <w:tc>
          <w:tcPr>
            <w:tcW w:type="pct" w:w="38%"/>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c>
          <w:tcPr>
            <w:tcW w:type="pct" w:w="38%"/>
            <w:shd w:fill="E7E6E6" w:val="clear"/>
            <w:tcMar>
              <w:top w:type="dxa" w:w="60"/>
              <w:left w:type="dxa" w:w="100"/>
              <w:bottom w:type="dxa" w:w="60"/>
              <w:right w:type="dxa" w:w="100"/>
            </w:tcMar>
            <w:vAlign w:val="center"/>
          </w:tcPr>
          <w:p>
            <w:pPr>
              <w:spacing w:after="0" w:line="240"/>
              <w:jc w:val="center"/>
            </w:pPr>
            <w:r>
              <w:rPr>
                <w:b/>
                <w:bCs/>
                <w:sz w:val="22"/>
                <w:szCs w:val="22"/>
              </w:rPr>
              <w:t xml:space="preserve">Adresse / paramètres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ns-A</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Émetteur (générateurs de trafic)</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Espace de noms isolé</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thesis-veth0</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Goulot (netem, TBF, qdisc)</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Paire veth, offloads désactivés</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ns-B</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Récepteur</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10.200.1.2, portée lien</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Canal ping</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Mesure indépendante du RTT</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Horodatage noyau, 5 Hz</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Oracle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Compteurs de file</w:t>
            </w:r>
          </w:p>
        </w:tc>
        <w:tc>
          <w:tcPr>
            <w:tcW w:type="pct" w:w="38%"/>
            <w:tcMar>
              <w:top w:type="dxa" w:w="60"/>
              <w:left w:type="dxa" w:w="100"/>
              <w:bottom w:type="dxa" w:w="60"/>
              <w:right w:type="dxa" w:w="100"/>
            </w:tcMar>
            <w:vAlign w:val="center"/>
          </w:tcPr>
          <w:p>
            <w:pPr>
              <w:spacing w:after="0" w:line="240"/>
              <w:jc w:val="left"/>
            </w:pPr>
            <w:r>
              <w:rPr>
                <w:b w:val="false"/>
                <w:bCs w:val="false"/>
                <w:sz w:val="22"/>
                <w:szCs w:val="22"/>
              </w:rPr>
              <w:t xml:space="preserve">tc -s class show, 10 Hz</w:t>
            </w:r>
          </w:p>
        </w:tc>
      </w:tr>
    </w:tbl>
    <w:p>
      <w:pPr>
        <w:spacing w:after="240" w:line="240"/>
      </w:pPr>
    </w:p>
    <w:p>
      <w:pPr>
        <w:spacing w:after="0" w:line="360"/>
        <w:ind w:firstLine="709"/>
        <w:jc w:val="both"/>
      </w:pPr>
      <w:r>
        <w:t xml:space="preserve">Le </w:t>
      </w:r>
      <w:r>
        <w:t xml:space="preserve">Tableau </w:t>
      </w:r>
      <w:fldSimple w:instr="REF RefTab_topo \h">
        <w:r>
          <w:t xml:space="preserve">0</w:t>
        </w:r>
      </w:fldSimple>
      <w:r>
        <w:t xml:space="preserve"> résume les éléments de la topologie. Les adresses IP sont en portée lien : il n'y a pas de routage entre ns-A et ns-B, seulement un lien direct.</w:t>
      </w:r>
    </w:p>
    <w:p>
      <w:pPr>
        <w:spacing w:after="0" w:line="360"/>
        <w:ind w:firstLine="709"/>
        <w:jc w:val="both"/>
      </w:pPr>
      <w:r>
        <w:t xml:space="preserve">La topologie du terrain, qui est utilisée pour la phase de validation sur lien réel, est symétriquement simple : un modem 4G ou un téléphone en partage de connexion relie le banc à l'antenne de l'opérateur. Aucun équipement actif supplémentaire (routeur, commutateur) n'est interposé entre le banc et le réseau mobile, afin de ne pas introduire de source de gigue ou de perte qui ne viendrait pas du lien d'accès lui-même. La différence fondamentale entre les deux topologies est la connaissance de la vérité terrain : sur le banc, elle est connue par construction ; sur le terrain, elle est l'objet de la mesure.</w:t>
      </w:r>
    </w:p>
    <w:p>
      <w:pPr>
        <w:pStyle w:val="Heading3"/>
        <w:keepNext/>
        <w:spacing w:after="160" w:before="280" w:line="360"/>
      </w:pPr>
      <w:r>
        <w:t xml:space="preserve">3.2.2 Type de réseau</w:t>
      </w:r>
    </w:p>
    <w:p>
      <w:pPr>
        <w:spacing w:after="0" w:line="360"/>
        <w:ind w:firstLine="709"/>
        <w:jc w:val="both"/>
      </w:pPr>
      <w:r>
        <w:t xml:space="preserve">Trois types de liens sont étudiés. Le premier est le lien émulé, obtenu en façonnant la paire veth avec netem et TBF. Il offre une vérité terrain connue par construction : le débit, le délai et le taux de perte sont imposés par le noyau et vérifiables par l'oracle. Le second est le lien 4G réel, obtenu en connectant le banc à l'opérateur via une carte SIM prépayée. Ce lien ancre les résultats dans les conditions réelles du contexte malgache : un coût par octet élevé, une gigue et des pertes sporadiques, un effondrement de capacité aux heures de pointe. Le troisième est le profil VSAT, rejoué en émulation avec un RTT de l'ordre de 600 ms, pour couvrir le cas des zones rurales non couvertes par la 4G.</w:t>
      </w:r>
    </w:p>
    <w:p>
      <w:pPr>
        <w:spacing w:after="0" w:line="360"/>
        <w:ind w:firstLine="709"/>
        <w:jc w:val="both"/>
      </w:pPr>
      <w:r>
        <w:t xml:space="preserve">Le profil VSAT mérite une attention particulière car il représente le cas le plus défavorable de la connectivité malgache. Les zones rurales, qui ne sont pas desservies par le réseau mobile, accèdent à l'Internet par des liaisons satellite dont le RTT atteint 600 ms en raison de la distance géostationnaire. Le produit débit-délai élevé qui en résulte rend inefficaces les mécanismes de contrôle de congestion classiques, qui confondent le délai de propagation avec le délai de file. Inclure ce profil dans la matrice expérimentale permet de vérifier que les solutions proposées restent efficaces dans les conditions les plus extrêmes.</w:t>
      </w:r>
    </w:p>
    <w:p>
      <w:pPr>
        <w:spacing w:after="0" w:line="360"/>
        <w:ind w:firstLine="709"/>
        <w:jc w:val="both"/>
      </w:pPr>
      <w:r>
        <w:t xml:space="preserve">Les câbles sous-marins METISS [6] et 2Africa [9] ont renforcé la capacité internationale de Madagascar, mais la contrainte se situe désormais au dernier kilomètre radio, où la capacité partagée d'une cellule 4G s'effondre aux heures de pointe. Les connexions des opérateurs locaux ne sont pas redondantes : chaque carte SIM correspond à un seul opérateur, sans secours. Cette observation justifie la redondance prévue au bras terrain, qui utilise deux opérateurs sur deux chemins matériels distincts.</w:t>
      </w:r>
    </w:p>
    <w:p>
      <w:pPr>
        <w:keepNext/>
        <w:spacing w:after="60" w:before="240" w:line="276"/>
        <w:jc w:val="center"/>
      </w:pPr>
      <w:r>
        <w:rPr>
          <w:i/>
          <w:iCs/>
          <w:sz w:val="22"/>
          <w:szCs w:val="22"/>
        </w:rPr>
        <w:t xml:space="preserve">Tableau </w:t>
      </w:r>
      <w:bookmarkStart w:name="RefTab_types" w:id="1"/>
      <w:fldSimple w:instr="SEQ Tableau \* ARABIC">
        <w:r>
          <w:t xml:space="preserve">0</w:t>
        </w:r>
      </w:fldSimple>
      <w:bookmarkEnd w:id="1"/>
      <w:r>
        <w:rPr>
          <w:i/>
          <w:iCs/>
          <w:sz w:val="22"/>
          <w:szCs w:val="22"/>
        </w:rPr>
        <w:t xml:space="preserve"> – Types de liens de l'environnement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Type</w:t>
            </w:r>
          </w:p>
        </w:tc>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Débit nominal</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RTT typique</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 dominante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Lien émulé (veth + netem + TBF)</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50 Mbit/s, configurable</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50 à 160 ms imposés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Vérité terrain connue par construction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Lien 4G réel (SIM prépayée)</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Variable, effondrement diurne</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Variable</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Coût par octet élevé, gigue et pertes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Profil VSAT (émulé)</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Faible, garanti</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~600 ms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Haut produit débit-délai</w:t>
            </w:r>
          </w:p>
        </w:tc>
      </w:tr>
    </w:tbl>
    <w:p>
      <w:pPr>
        <w:spacing w:after="240" w:line="240"/>
      </w:pPr>
    </w:p>
    <w:p>
      <w:pPr>
        <w:spacing w:after="0" w:line="360"/>
        <w:ind w:firstLine="709"/>
        <w:jc w:val="both"/>
      </w:pPr>
      <w:r>
        <w:t xml:space="preserve">Le </w:t>
      </w:r>
      <w:r>
        <w:t xml:space="preserve">Tableau </w:t>
      </w:r>
      <w:fldSimple w:instr="REF RefTab_types \h">
        <w:r>
          <w:t xml:space="preserve">0</w:t>
        </w:r>
      </w:fldSimple>
      <w:r>
        <w:t xml:space="preserve"> résume les trois types de liens. Leur diversité permet de confronter les mêmes détecteurs et disciplines de file à des conditions de propagation et de coût radicalement différentes. La distinction entre ces trois types est fondamentale pour la généralisation des résultats. Un détecteur qui fonctionne sur un lien émulé à 50 ms de RTT peut être testé sur le profil VSAT à 600 ms pour vérifier sa robustesse au produit débit-délai. De même, un réglage de façonneur adaptatif validé en émulation peut être confronté au comportement réel du lien 4G, qui introduit des variations non modélisées par les paramètres netem. Cette confrontation entre l'idéal (lien émulé) et le réel (lien 4G) est au cœur du protocole de validation.</w:t>
      </w:r>
    </w:p>
    <w:p>
      <w:pPr>
        <w:pStyle w:val="Heading3"/>
        <w:keepNext/>
        <w:spacing w:after="160" w:before="280" w:line="360"/>
      </w:pPr>
      <w:r>
        <w:t xml:space="preserve">3.2.3 Équipement d'interconnexion</w:t>
      </w:r>
    </w:p>
    <w:p>
      <w:pPr>
        <w:spacing w:after="0" w:line="360"/>
        <w:ind w:firstLine="709"/>
        <w:jc w:val="both"/>
      </w:pPr>
      <w:r>
        <w:t xml:space="preserve">Dans un banc logiciel, les équipements d'interconnexion sont des composants du noyau Linux plutôt que des boîtiers physiques. Le goulot thesis-veth0 reçoit une pile de qdisc composée de trois éléments. netem [49] impose le délai de propagation, la gigue et le taux de perte. TBF [50] limite le débit à 50 Mbit/s nominal par un mécanisme à seau de jetons. fq_codel [30] assure la gestion active de file, en attribuant une file par flux et en appliquant l'algorithme CoDel pour maintenir le temps de séjour des paquets sous la cible de 5 ms. Les espaces de noms ns-A et ns-B [51] assurent l'isolation de la couche réseau entre l'émetteur et le récepteur.</w:t>
      </w:r>
    </w:p>
    <w:p>
      <w:pPr>
        <w:spacing w:after="0" w:line="360"/>
        <w:ind w:firstLine="709"/>
        <w:jc w:val="both"/>
      </w:pPr>
      <w:r>
        <w:t xml:space="preserve">Le choix de composants noyau plutôt que d'équipements physiques présente trois avantages. Le premier est la reproductibilité : la configuration est décrite dans un script shell exécutable sur toute machine Linux. Le second est l'accès aux compteurs internes : l'oracle lit les statistiques exactes de la file, ce qu'aucun équipement réseau commercial ne permet. Le troisième est le coût : le banc fonctionne sur une seule machine virtuelle, sans matériel spécifique.</w:t>
      </w:r>
    </w:p>
    <w:p>
      <w:pPr>
        <w:keepNext/>
        <w:spacing w:after="60" w:before="240" w:line="276"/>
        <w:jc w:val="center"/>
      </w:pPr>
      <w:r>
        <w:rPr>
          <w:i/>
          <w:iCs/>
          <w:sz w:val="22"/>
          <w:szCs w:val="22"/>
        </w:rPr>
        <w:t xml:space="preserve">Tableau </w:t>
      </w:r>
      <w:bookmarkStart w:name="RefTab_interco" w:id="1"/>
      <w:fldSimple w:instr="SEQ Tableau \* ARABIC">
        <w:r>
          <w:t xml:space="preserve">0</w:t>
        </w:r>
      </w:fldSimple>
      <w:bookmarkEnd w:id="1"/>
      <w:r>
        <w:rPr>
          <w:i/>
          <w:iCs/>
          <w:sz w:val="22"/>
          <w:szCs w:val="22"/>
        </w:rPr>
        <w:t xml:space="preserve"> – Équipements d'interconnexion logiciels du banc.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Désignation</w:t>
            </w:r>
          </w:p>
        </w:tc>
        <w:tc>
          <w:tcPr>
            <w:tcW w:type="pct" w:w="42%"/>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Caractéristiques</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Emplacement</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Paire veth thesis-veth0</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Lien virtuel point à point, offloads désactivés</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Noyau, entre ns-A et ns-B</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netem</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Délai, gigue, perte (0,1 % perte, 10 ms gigue en contexte 4G)</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qdisc du goulot [49]</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TBF</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Limiteur de débit à jeton, 50 Mbit/s nominal</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qdisc du goulot [50]</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File par flux et algorithme CoDel</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qdisc enfant, réglage par défaut [30]</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Espaces de noms ns-A, ns-B</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Isolation émetteur et récepteur</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Noyau [51]</w:t>
            </w:r>
          </w:p>
        </w:tc>
      </w:tr>
    </w:tbl>
    <w:p>
      <w:pPr>
        <w:spacing w:after="240" w:line="240"/>
      </w:pPr>
    </w:p>
    <w:p>
      <w:pPr>
        <w:spacing w:after="0" w:line="360"/>
        <w:ind w:firstLine="709"/>
        <w:jc w:val="both"/>
      </w:pPr>
      <w:r>
        <w:t xml:space="preserve">Le </w:t>
      </w:r>
      <w:r>
        <w:t xml:space="preserve">Tableau </w:t>
      </w:r>
      <w:fldSimple w:instr="REF RefTab_interco \h">
        <w:r>
          <w:t xml:space="preserve">0</w:t>
        </w:r>
      </w:fldSimple>
      <w:r>
        <w:t xml:space="preserve"> énumère les équipements d'interconnexion logiciels. Chacun correspond à une fonction réseau identifiable : retard, limitation, gestion de file, isolement. Le paramétrage de ces composants est critique pour la reproductibilité des expériences. netem est configuré avec des valeurs fixes de délai (50 ms, 160 ms, 600 ms selon le profil), une gigue de 10 ms en contexte 4G et un taux de perte de 0,1 %. Ces valeurs sont issues des observations du terrain et reproduisent les conditions d'un lien d'accès malgache contraint. TBF est réglé à 50 Mbit/s nominal avec une taille de rafale calibrée pour éviter les sous-utilisations intempestives. fq_codel utilise le réglage par défaut du noyau, qui constitue le scénario de base de l'expérience E3.</w:t>
      </w:r>
    </w:p>
    <w:p>
      <w:pPr>
        <w:spacing w:after="0" w:line="360"/>
        <w:ind w:firstLine="709"/>
        <w:jc w:val="both"/>
      </w:pPr>
      <w:r>
        <w:t xml:space="preserve">Un aspect important est l'interaction entre ces trois qdisc. netem et TBF sont placés en tête de pile, suivis de fq_codel comme discipline enfant. Cette hiérarchie garantit que le délai et la limitation de débit sont appliqués avant la gestion de file, ce qui correspond à l'ordre logique d'un goulot réel : le délai de propagation est une propriété physique, la limitation de débit est une contrainte d'interface, et la gestion active de l'attente est un correctif logiciel qui agit sur les paquets en attente.</w:t>
      </w:r>
    </w:p>
    <w:p>
      <w:pPr>
        <w:spacing w:after="0" w:line="360"/>
        <w:ind w:firstLine="709"/>
        <w:jc w:val="both"/>
      </w:pPr>
      <w:r>
        <w:t xml:space="preserve">La désactivation des offloads matériels sur thesis-veth0 constitue un invariant de l'expérimentation que le protocole de vérification contrôle à chaque lancement. Les mécanismes tels que TSO, GSO, GRO ou LRO ont pour effet de regrouper les paquets avant de les soumettre à la file, ce qui masque la dynamique réelle de la congestion et fausse les compteurs de l'oracle. Leur désactivation est vérifiée par la porte G1 du protocole.</w:t>
      </w:r>
    </w:p>
    <w:p>
      <w:pPr>
        <w:pStyle w:val="Heading3"/>
        <w:keepNext/>
        <w:spacing w:after="160" w:before="280" w:line="360"/>
      </w:pPr>
      <w:r>
        <w:t xml:space="preserve">3.2.4 Postes de travail</w:t>
      </w:r>
    </w:p>
    <w:p>
      <w:pPr>
        <w:spacing w:after="0" w:line="360"/>
        <w:ind w:firstLine="709"/>
        <w:jc w:val="both"/>
      </w:pPr>
      <w:r>
        <w:t xml:space="preserve">L'ensemble du dispositif fonctionne sur une machine unique : une machine virtuelle Ubuntu 24.04 LTS [54] dotée de 2 cœurs vCPU, 4 Go de RAM et au moins 40 Go d'espace disque. Le noyau 6.8 assure la prise en charge des fonctionnalités réseau utilisées (netem, TBF, fq_codel, espaces de noms). La machine hôte, un portable sur batterie, fournit l'alimentation de secours nécessaire lors des délestages électriques. Le choix d'une machine unique simplifie le déploiement et garantit que l'ensemble des composants est synchronisé : l'oracle, les générateurs de trafic et les sondes partagent la même horloge.</w:t>
      </w:r>
    </w:p>
    <w:p>
      <w:pPr>
        <w:keepNext/>
        <w:spacing w:after="60" w:before="240" w:line="276"/>
        <w:jc w:val="center"/>
      </w:pPr>
      <w:r>
        <w:rPr>
          <w:i/>
          <w:iCs/>
          <w:sz w:val="22"/>
          <w:szCs w:val="22"/>
        </w:rPr>
        <w:t xml:space="preserve">Tableau </w:t>
      </w:r>
      <w:bookmarkStart w:name="RefTab_poste" w:id="1"/>
      <w:fldSimple w:instr="SEQ Tableau \* ARABIC">
        <w:r>
          <w:t xml:space="preserve">0</w:t>
        </w:r>
      </w:fldSimple>
      <w:bookmarkEnd w:id="1"/>
      <w:r>
        <w:rPr>
          <w:i/>
          <w:iCs/>
          <w:sz w:val="22"/>
          <w:szCs w:val="22"/>
        </w:rPr>
        <w:t xml:space="preserve"> – Poste de mesure.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Désignation</w:t>
            </w:r>
          </w:p>
        </w:tc>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Caractéristiques</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Système d’exploitation</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Rôle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VM cgo</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2 vCPU, 4 Go RAM, ≥ 40 Go disque, noyau 6.8</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Ubuntu 24.04 LTS [54]</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Banc expérimental complet</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Machine hôte</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Portable sur batterie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Indifférent</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Alimentation de secours lors des coupures</w:t>
            </w:r>
          </w:p>
        </w:tc>
      </w:tr>
    </w:tbl>
    <w:p>
      <w:pPr>
        <w:spacing w:after="240" w:line="240"/>
      </w:pPr>
    </w:p>
    <w:p>
      <w:pPr>
        <w:spacing w:after="0" w:line="360"/>
        <w:ind w:firstLine="709"/>
        <w:jc w:val="both"/>
      </w:pPr>
      <w:r>
        <w:t xml:space="preserve">Le </w:t>
      </w:r>
      <w:r>
        <w:t xml:space="preserve">Tableau </w:t>
      </w:r>
      <w:fldSimple w:instr="REF RefTab_poste \h">
        <w:r>
          <w:t xml:space="preserve">0</w:t>
        </w:r>
      </w:fldSimple>
      <w:r>
        <w:t xml:space="preserve"> décrit le poste de mesure. La VM unique réduit la variabilité due aux horloges distribuées et garantit que le temps d'horloge mesuré par l'oracle et par les sondes est identique. Le choix d'une machine virtuelle plutôt que d'un serveur dédié présente un avantage pratique pour le contexte malgache : le portable qui sert de machine hôte peut être transporté sur le terrain, rechargé sur batterie lors des délestages, et reconnecté au réseau électrique dès que le courant revient. La VM peut être suspendue et reprise sans perte de données, ce qui est indispensable dans un environnement où les coupures sont imprévisibles.</w:t>
      </w:r>
    </w:p>
    <w:p>
      <w:pPr>
        <w:pStyle w:val="Heading3"/>
        <w:keepNext/>
        <w:spacing w:after="160" w:before="280" w:line="360"/>
      </w:pPr>
      <w:r>
        <w:t xml:space="preserve">3.2.5 Serveurs</w:t>
      </w:r>
    </w:p>
    <w:p>
      <w:pPr>
        <w:spacing w:after="0" w:line="360"/>
        <w:ind w:firstLine="709"/>
        <w:jc w:val="both"/>
      </w:pPr>
      <w:r>
        <w:t xml:space="preserve">Deux services tournent sur le poste de mesure. Le binaire cgo-linux, écrit en Go [55], est un exécutable statique d'environ 13 Mo. Il héberge quatre fonctions critiques : l'oracle noyau qui collecte les compteurs de file, les cinq détecteurs d'événements de congestion, le contrôleur adaptatif pour l'expérience E3, et la chaîne d'intégrité qui archive les résultats. Le serveur iperf3 [48] génère et mesure le trafic de charge TCP et UDP. Aucun des deux services n'expose d'interface vers l'extérieur du banc : les communications sont locales à l'espace de noms, ce qui rend l'authentification sans objet.</w:t>
      </w:r>
    </w:p>
    <w:p>
      <w:pPr>
        <w:keepNext/>
        <w:spacing w:after="60" w:before="240" w:line="276"/>
        <w:jc w:val="center"/>
      </w:pPr>
      <w:r>
        <w:rPr>
          <w:i/>
          <w:iCs/>
          <w:sz w:val="22"/>
          <w:szCs w:val="22"/>
        </w:rPr>
        <w:t xml:space="preserve">Tableau </w:t>
      </w:r>
      <w:bookmarkStart w:name="RefTab_services" w:id="1"/>
      <w:fldSimple w:instr="SEQ Tableau \* ARABIC">
        <w:r>
          <w:t xml:space="preserve">0</w:t>
        </w:r>
      </w:fldSimple>
      <w:bookmarkEnd w:id="1"/>
      <w:r>
        <w:rPr>
          <w:i/>
          <w:iCs/>
          <w:sz w:val="22"/>
          <w:szCs w:val="22"/>
        </w:rPr>
        <w:t xml:space="preserve"> – Services du banc.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Désignation</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Caractéristiques</w:t>
            </w:r>
          </w:p>
        </w:tc>
        <w:tc>
          <w:tcPr>
            <w:tcW w:type="pct" w:w="32%"/>
            <w:shd w:fill="E7E6E6" w:val="clear"/>
            <w:tcMar>
              <w:top w:type="dxa" w:w="60"/>
              <w:left w:type="dxa" w:w="100"/>
              <w:bottom w:type="dxa" w:w="60"/>
              <w:right w:type="dxa" w:w="100"/>
            </w:tcMar>
            <w:vAlign w:val="center"/>
          </w:tcPr>
          <w:p>
            <w:pPr>
              <w:spacing w:after="0" w:line="240"/>
              <w:jc w:val="center"/>
            </w:pPr>
            <w:r>
              <w:rPr>
                <w:b/>
                <w:bCs/>
                <w:sz w:val="22"/>
                <w:szCs w:val="22"/>
              </w:rPr>
              <w:t xml:space="preserve">Service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Accès</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cgo-linux</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Binaire Go statique, ~13 Mo</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Oracle, détection, contrôle, manifeste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Local uniquement</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iperf3</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Serveur et client de mesure</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Trafic TCP/UDP de charge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Local (ns-A vers ns-B)</w:t>
            </w:r>
          </w:p>
        </w:tc>
      </w:tr>
    </w:tbl>
    <w:p>
      <w:pPr>
        <w:spacing w:after="240" w:line="240"/>
      </w:pPr>
    </w:p>
    <w:p>
      <w:pPr>
        <w:spacing w:after="0" w:line="360"/>
        <w:ind w:firstLine="709"/>
        <w:jc w:val="both"/>
      </w:pPr>
      <w:r>
        <w:t xml:space="preserve">Le </w:t>
      </w:r>
      <w:r>
        <w:t xml:space="preserve">Tableau </w:t>
      </w:r>
      <w:fldSimple w:instr="REF RefTab_services \h">
        <w:r>
          <w:t xml:space="preserve">0</w:t>
        </w:r>
      </w:fldSimple>
      <w:r>
        <w:t xml:space="preserve"> résume les deux services. Le choix de Go pour cgo-linux est motivé par la facilité de déploiement (binaire statique, aucune dépendance) et la garantie d'identité de comportement entre l'environnement de développement et le banc de mesure. Les deux services s'exécutent dans l'espace de noms ns-A et communiquent avec ns-B par des sockets standard. Aucun des deux n'utilise de mécanisme de communication inter-processus qui nécessiterait des privilèges particuliers ou des points de montage spécifiques, ce qui facilite le déploiement sur une VM vierge. Le démarrage du banc se résume à l'exécution d'un script shell unique qui crée les espaces de noms, configure les qdisc, lance les deux binaires et vérifie les portes G1 et G2.</w:t>
      </w:r>
    </w:p>
    <w:p>
      <w:pPr>
        <w:spacing w:after="0" w:line="360"/>
        <w:ind w:firstLine="709"/>
        <w:jc w:val="both"/>
      </w:pPr>
      <w:r>
        <w:t xml:space="preserve">L'architecture sans dépendance externe de cgo-linux présente un avantage supplémentaire pour le contexte malgache : le binaire peut être distribué sur une clé USB et exécuté sur toute machine Linux sans installation préalable ni connexion internet. Cette propriété est déterminante dans un environnement où la bande passante est chère et où les gestionnaires de paquets peuvent être incomplets.</w:t>
      </w:r>
    </w:p>
    <w:p>
      <w:pPr>
        <w:pStyle w:val="Heading3"/>
        <w:keepNext/>
        <w:spacing w:after="160" w:before="280" w:line="360"/>
      </w:pPr>
      <w:r>
        <w:t xml:space="preserve">3.2.6 Gateways</w:t>
      </w:r>
    </w:p>
    <w:p>
      <w:pPr>
        <w:spacing w:after="0" w:line="360"/>
        <w:ind w:firstLine="709"/>
        <w:jc w:val="both"/>
      </w:pPr>
      <w:r>
        <w:t xml:space="preserve">La passerelle vers l'extérieur est le lien 4G du bras terrain, dont la </w:t>
      </w:r>
      <w:r>
        <w:t xml:space="preserve">Figure </w:t>
      </w:r>
      <w:fldSimple w:instr="REF RefFig_g4 \h">
        <w:r>
          <w:t xml:space="preserve">0</w:t>
        </w:r>
      </w:fldSimple>
      <w:r>
        <w:t xml:space="preserve"> présente la topologie. Le modem 4G, acquis localement auprès d'un distributeur agréé conformément à l'homologation des équipements terminaux exigée par l'ARTEC [24], assure la translation d'adresse côté opérateur. Aucun pare-feu local n'est nécessaire : le banc n'expose aucun service vers l'Internet. En alternative, le partage de connexion d'un téléphone déjà homologué peut remplacer le modem dédié. La loi n° 2014-038 sur la protection des données [26] est respectée par construction : les captures portent sur du trafic synthétique, à l'exclusion de tout trafic d'usagers tiers.</w:t>
      </w:r>
    </w:p>
    <w:p>
      <w:pPr>
        <w:keepNext/>
        <w:spacing w:after="60" w:before="240" w:line="240"/>
        <w:jc w:val="center"/>
      </w:pPr>
      <w:r>
        <w:drawing>
          <wp:inline distT="0" distB="0" distL="0" distR="0">
            <wp:extent cx="57531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2447925"/>
                    </a:xfrm>
                    <a:prstGeom prst="rect">
                      <a:avLst/>
                    </a:prstGeom>
                  </pic:spPr>
                </pic:pic>
              </a:graphicData>
            </a:graphic>
          </wp:inline>
        </w:drawing>
      </w:r>
    </w:p>
    <w:p>
      <w:pPr>
        <w:spacing w:after="240" w:before="0" w:line="276"/>
        <w:jc w:val="center"/>
      </w:pPr>
      <w:r>
        <w:rPr>
          <w:i/>
          <w:iCs/>
          <w:sz w:val="22"/>
          <w:szCs w:val="22"/>
        </w:rPr>
        <w:t xml:space="preserve">Figure </w:t>
      </w:r>
      <w:bookmarkStart w:name="RefFig_g4" w:id="1"/>
      <w:fldSimple w:instr="SEQ Figure \* ARABIC">
        <w:r>
          <w:t xml:space="preserve">0</w:t>
        </w:r>
      </w:fldSimple>
      <w:bookmarkEnd w:id="1"/>
      <w:r>
        <w:rPr>
          <w:i/>
          <w:iCs/>
          <w:sz w:val="22"/>
          <w:szCs w:val="22"/>
        </w:rPr>
        <w:t xml:space="preserve"> – Topologie du lien 4G réel : banc de mesure, passerelle homologuée, réseau de l'opérateur.</w:t>
      </w:r>
    </w:p>
    <w:p>
      <w:pPr>
        <w:keepNext/>
        <w:spacing w:after="60" w:before="240" w:line="276"/>
        <w:jc w:val="center"/>
      </w:pPr>
      <w:r>
        <w:rPr>
          <w:i/>
          <w:iCs/>
          <w:sz w:val="22"/>
          <w:szCs w:val="22"/>
        </w:rPr>
        <w:t xml:space="preserve">Tableau </w:t>
      </w:r>
      <w:bookmarkStart w:name="RefTab_gateway" w:id="1"/>
      <w:fldSimple w:instr="SEQ Tableau \* ARABIC">
        <w:r>
          <w:t xml:space="preserve">0</w:t>
        </w:r>
      </w:fldSimple>
      <w:bookmarkEnd w:id="1"/>
      <w:r>
        <w:rPr>
          <w:i/>
          <w:iCs/>
          <w:sz w:val="22"/>
          <w:szCs w:val="22"/>
        </w:rPr>
        <w:t xml:space="preserve"> – Passerelle vers l'Internet.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Désignation</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Caractéristiques</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Fonctionnalités activées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Modem 4G (ou téléphone en partage)</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Carte SIM prépayée, opérateur local</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NAT opérateur, pas de pare-feu local, trafic de mesure uniquement</w:t>
            </w:r>
          </w:p>
        </w:tc>
      </w:tr>
    </w:tbl>
    <w:p>
      <w:pPr>
        <w:spacing w:after="240" w:line="240"/>
      </w:pPr>
    </w:p>
    <w:p>
      <w:pPr>
        <w:spacing w:after="0" w:line="360"/>
        <w:ind w:firstLine="709"/>
        <w:jc w:val="both"/>
      </w:pPr>
      <w:r>
        <w:t xml:space="preserve">Le </w:t>
      </w:r>
      <w:r>
        <w:t xml:space="preserve">Tableau </w:t>
      </w:r>
      <w:fldSimple w:instr="REF RefTab_gateway \h">
        <w:r>
          <w:t xml:space="preserve">0</w:t>
        </w:r>
      </w:fldSimple>
      <w:r>
        <w:t xml:space="preserve"> décrit la passerelle. Le lien 4G est le seul point de contact avec l'Internet, ce qui permet d'isoler les phénomènes mesurés des artefacts de routage ou de filtrage qui affecteraient un trafic traversant plusieurs sauts. L'acquisition du modem 4G auprès d'un revendeur agréé garantit la conformité aux exigences d'homologation de l'ARTEC [24]. Cette homologation certifie que l'équipement respecte les normes d'émission radio et de compatibilité électromagnétique applicables à Madagascar, ce qui écarte les risques d'interférence avec les équipements du réseau de l'opérateur. Un téléphone grand public utilisé en partage de connexion satisfait à la même obligation, puisqu'il a déjà été homologué avant sa mise sur le marché.</w:t>
      </w:r>
    </w:p>
    <w:p>
      <w:pPr>
        <w:spacing w:after="0" w:line="360"/>
        <w:ind w:firstLine="709"/>
        <w:jc w:val="both"/>
      </w:pPr>
      <w:r>
        <w:t xml:space="preserve">Le trafic de mesure est le seul trafic qui transite par la passerelle. Cette isolation est assurée par la configuration réseau du banc : les espaces de noms ne possèdent pas de route par défaut vers l'Internet, et le modem est connecté à un espace de noms dédié qui ne contient que le client de mesure. Cette architecture évite que des mises à jour système, des requêtes DNS intempestives ou des services d'arrière-plan ne contaminent les mesures.</w:t>
      </w:r>
    </w:p>
    <w:p>
      <w:pPr>
        <w:pStyle w:val="Heading3"/>
        <w:keepNext/>
        <w:spacing w:after="160" w:before="280" w:line="360"/>
      </w:pPr>
      <w:r>
        <w:t xml:space="preserve">3.2.7 Partage</w:t>
      </w:r>
    </w:p>
    <w:p>
      <w:pPr>
        <w:spacing w:after="0" w:line="360"/>
        <w:ind w:firstLine="709"/>
        <w:jc w:val="both"/>
      </w:pPr>
      <w:r>
        <w:t xml:space="preserve">Le partage des données du projet prend la forme d'une archive reproductible. Celle-ci comprend les tables gelées e1onsets.csv et e3events.csv, qui contiennent les résultats des expériences E1 et E3, les paquets de preuves par événement (captures tcpdump et journaux d'oracle), le manifeste chaîné par SHA-256 qui garantit l'intégrité de chaque fichier, et le dépôt Zenodo [53] qui attribue un DOI pérenne à l'ensemble. Tous les formats sont ouverts : CSV pour les données tabulaires, JSON pour les métadonnées. La régénération des figures s'effectue par une commande unique, ce qui permet à tout tiers de vérifier chaque nombre publié.</w:t>
      </w:r>
    </w:p>
    <w:p>
      <w:pPr>
        <w:spacing w:after="0" w:line="360"/>
        <w:ind w:firstLine="709"/>
        <w:jc w:val="both"/>
      </w:pPr>
      <w:r>
        <w:t xml:space="preserve">Ce partage n'est pas un service de fichiers d'entreprise : c'est la surface de vérification scientifique du travail. Il répond aux exigences de la culture de mesure des conférences PAM, IMC et TMA, qui imposent que les données et le code soient archivés et accessibles pour permettre la réplication indépendante des résultats.</w:t>
      </w:r>
    </w:p>
    <w:p>
      <w:pPr>
        <w:spacing w:after="0" w:line="360"/>
        <w:ind w:firstLine="709"/>
        <w:jc w:val="both"/>
      </w:pPr>
      <w:r>
        <w:t xml:space="preserve">La procédure de vérification par un tiers se déroule en trois étapes. Premièrement, le téléchargement du dépôt Zenodo et la vérification des sommes SHA-256 garantissent que les données n'ont pas été modifiées. Deuxièmement, l'exécution du script de régénération sur un poste non lié au projet produit des figures et des nombres identiques à ceux du mémoire. Troisièmement, la comparaison des résultats de l'oracle avec les captures brutes de tcpdump permet de vérifier qu'aucune étape de la chaîne de traitement n'a introduit de biais.</w:t>
      </w:r>
    </w:p>
    <w:p>
      <w:pPr>
        <w:spacing w:after="0" w:line="360"/>
        <w:ind w:firstLine="709"/>
        <w:jc w:val="both"/>
      </w:pPr>
      <w:r>
        <w:t xml:space="preserve">La publication sur Zenodo [53] garantit la pérennité de l'archive indépendamment de l'hébergement universitaire : le DOI attribué reste résoluble même si le dépôt est déplacé ou si le laboratoire change de politique d'accès. Cette indépendance est capitale pour la crédibilité scientifique du travail, car elle évite que la vérification des résultats dépende de la disponibilité d'une infrastructure maintenue par l'auteur.</w:t>
      </w:r>
    </w:p>
    <w:p>
      <w:pPr>
        <w:pStyle w:val="Heading3"/>
        <w:keepNext/>
        <w:spacing w:after="160" w:before="280" w:line="360"/>
      </w:pPr>
      <w:r>
        <w:t xml:space="preserve">3.2.8 Routage</w:t>
      </w:r>
    </w:p>
    <w:p>
      <w:pPr>
        <w:spacing w:after="0" w:line="360"/>
        <w:ind w:firstLine="709"/>
        <w:jc w:val="both"/>
      </w:pPr>
      <w:r>
        <w:t xml:space="preserve">Le routage du banc est statique et volontairement contraint. Le trafic de charge est épinglé vers le goulot par une règle de routage par politique (policy routing) : toute communication entre ns-A et ns-B passe nécessairement par thesis-veth0. Cet épinglage est vérifié en continu par la porte G2, qui s'assure que la file se constitue après quinze secondes de charge. L'absence d'épinglage serait détectée comme un sabotage (NC-1) : un trafic qui contournerait le goulot ne traverserait pas la file et fausserait les mesures. Aucun protocole de routage dynamique (RIP, OSPF, BGP) n'est utilisé, le banc ne comportant que deux espaces de noms et un seul lien.</w:t>
      </w:r>
    </w:p>
    <w:p>
      <w:pPr>
        <w:spacing w:after="0" w:line="360"/>
        <w:ind w:firstLine="709"/>
        <w:jc w:val="both"/>
      </w:pPr>
      <w:r>
        <w:t xml:space="preserve">Le choix d'un routage statique plutôt que dynamique n'est pas une simplification, mais une décision méthodologique. Un protocole de routage dynamique introduirait une source de variabilité supplémentaire : les temps de convergence, les annonces de préfixe et les changements de métrique affecteraient le trafic de mesure sans rapport avec la congestion du goulot. L'épinglage par policy routing garantit que le chemin emprunté par chaque paquet est déterministe et connu, ce qui est une condition nécessaire pour que l'oracle puisse attribuer chaque variation de file à la charge et non à un événement de routage.</w:t>
      </w:r>
    </w:p>
    <w:p>
      <w:pPr>
        <w:pStyle w:val="Heading3"/>
        <w:keepNext/>
        <w:spacing w:after="160" w:before="280" w:line="360"/>
      </w:pPr>
      <w:r>
        <w:t xml:space="preserve">3.2.9 Disponibilité</w:t>
      </w:r>
    </w:p>
    <w:p>
      <w:pPr>
        <w:spacing w:after="0" w:line="360"/>
        <w:ind w:firstLine="709"/>
        <w:jc w:val="both"/>
      </w:pPr>
      <w:r>
        <w:t xml:space="preserve">La disponibilité du dispositif de mesure est analysée point par point, en distinguant le banc et le terrain. Le </w:t>
      </w:r>
      <w:r>
        <w:t xml:space="preserve">Tableau </w:t>
      </w:r>
      <w:fldSimple w:instr="REF RefTab_dispo \h">
        <w:r>
          <w:t xml:space="preserve">0</w:t>
        </w:r>
      </w:fldSimple>
      <w:r>
        <w:t xml:space="preserve"> présente l'état de l'existant pour chaque ressource et la conséquence pour le projet.</w:t>
      </w:r>
    </w:p>
    <w:p>
      <w:pPr>
        <w:keepNext/>
        <w:spacing w:after="60" w:before="240" w:line="276"/>
        <w:jc w:val="center"/>
      </w:pPr>
      <w:r>
        <w:rPr>
          <w:i/>
          <w:iCs/>
          <w:sz w:val="22"/>
          <w:szCs w:val="22"/>
        </w:rPr>
        <w:t xml:space="preserve">Tableau </w:t>
      </w:r>
      <w:bookmarkStart w:name="RefTab_dispo" w:id="1"/>
      <w:fldSimple w:instr="SEQ Tableau \* ARABIC">
        <w:r>
          <w:t xml:space="preserve">0</w:t>
        </w:r>
      </w:fldSimple>
      <w:bookmarkEnd w:id="1"/>
      <w:r>
        <w:rPr>
          <w:i/>
          <w:iCs/>
          <w:sz w:val="22"/>
          <w:szCs w:val="22"/>
        </w:rPr>
        <w:t xml:space="preserve"> – Analyse de la disponibilité.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Ressource</w:t>
            </w:r>
          </w:p>
        </w:tc>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État de l’existant</w:t>
            </w:r>
          </w:p>
        </w:tc>
        <w:tc>
          <w:tcPr>
            <w:tcW w:type="pct" w:w="44%"/>
            <w:shd w:fill="E7E6E6" w:val="clear"/>
            <w:tcMar>
              <w:top w:type="dxa" w:w="60"/>
              <w:left w:type="dxa" w:w="100"/>
              <w:bottom w:type="dxa" w:w="60"/>
              <w:right w:type="dxa" w:w="100"/>
            </w:tcMar>
            <w:vAlign w:val="center"/>
          </w:tcPr>
          <w:p>
            <w:pPr>
              <w:spacing w:after="0" w:line="240"/>
              <w:jc w:val="center"/>
            </w:pPr>
            <w:r>
              <w:rPr>
                <w:b/>
                <w:bCs/>
                <w:sz w:val="22"/>
                <w:szCs w:val="22"/>
              </w:rPr>
              <w:t xml:space="preserve">Conséquence pour le projet</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Applications</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Binaire cgo-linux s’exécute sans dépendance externe</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Fonctionnement hors ligne, aucune mise à jour en campagne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Données</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Archive gelée, hachée, régénérable</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Reprise sur incident sans perte ni duplication</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Ressources</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2 vCPU, 4 Go RAM, ~8 Go de captures</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Épinglage processeur et quotas pour contenir la variance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Internet</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Requis uniquement en phase de préparation</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Mode avion pendant les campagnes et à la soutenance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Énergie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Délestage JIRAMA, coupures de plusieurs heures [16][19]</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Points de contrôle par événement, reprise après coupure, batterie de secours</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Sauvegarde</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Manifeste SHA-256, dépôt Zenodo</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Restauration et vérification par un tiers</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QoS</w:t>
            </w:r>
          </w:p>
        </w:tc>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Objet même de l’étude</w:t>
            </w:r>
          </w:p>
        </w:tc>
        <w:tc>
          <w:tcPr>
            <w:tcW w:type="pct" w:w="44%"/>
            <w:tcMar>
              <w:top w:type="dxa" w:w="60"/>
              <w:left w:type="dxa" w:w="100"/>
              <w:bottom w:type="dxa" w:w="60"/>
              <w:right w:type="dxa" w:w="100"/>
            </w:tcMar>
            <w:vAlign w:val="center"/>
          </w:tcPr>
          <w:p>
            <w:pPr>
              <w:spacing w:after="0" w:line="240"/>
              <w:jc w:val="left"/>
            </w:pPr>
            <w:r>
              <w:rPr>
                <w:b w:val="false"/>
                <w:bCs w:val="false"/>
                <w:sz w:val="22"/>
                <w:szCs w:val="22"/>
              </w:rPr>
              <w:t xml:space="preserve">Mesurée par l’oracle et les canaux indépendants</w:t>
            </w:r>
          </w:p>
        </w:tc>
      </w:tr>
    </w:tbl>
    <w:p>
      <w:pPr>
        <w:spacing w:after="240" w:line="240"/>
      </w:pPr>
    </w:p>
    <w:p>
      <w:pPr>
        <w:spacing w:after="0" w:line="360"/>
        <w:ind w:firstLine="709"/>
        <w:jc w:val="both"/>
      </w:pPr>
      <w:r>
        <w:t xml:space="preserve">Le </w:t>
      </w:r>
      <w:r>
        <w:t xml:space="preserve">Tableau </w:t>
      </w:r>
      <w:fldSimple w:instr="REF RefTab_dispo \h">
        <w:r>
          <w:t xml:space="preserve">0</w:t>
        </w:r>
      </w:fldSimple>
      <w:r>
        <w:t xml:space="preserve"> analyse la disponibilité pour sept ressources critiques. La contrainte énergétique est la plus contraignante : les délestages de la JIRAMA [16] peuvent durer plusieurs heures et surviennent sans préavis fiable. Le dispositif intègre donc des points de contrôle par événement, une reprise automatique après coupure et une batterie de secours sur la machine hôte.</w:t>
      </w:r>
    </w:p>
    <w:p>
      <w:pPr>
        <w:spacing w:after="0" w:line="360"/>
        <w:ind w:firstLine="709"/>
        <w:jc w:val="both"/>
      </w:pPr>
      <w:r>
        <w:t xml:space="preserve">La ressource Internet appelle également une attention particulière. Pendant les phases de préparation, la connexion est nécessaire pour télécharger les mises à jour et les dépendances. Pendant les campagnes de mesure et lors de la soutenance, le banc passe en mode avion : toute communication vers l'extérieur est coupée pour éviter que des mises à jour intempestives ou des alertes système ne perturbent les mesures. Les données sont archivées localement et synchronisées avec Zenodo une fois la campagne terminée.</w:t>
      </w:r>
    </w:p>
    <w:p>
      <w:pPr>
        <w:pStyle w:val="Heading3"/>
        <w:keepNext/>
        <w:spacing w:after="160" w:before="280" w:line="360"/>
      </w:pPr>
      <w:r>
        <w:t xml:space="preserve">3.2.10 Surveillance</w:t>
      </w:r>
    </w:p>
    <w:p>
      <w:pPr>
        <w:spacing w:after="0" w:line="360"/>
        <w:ind w:firstLine="709"/>
        <w:jc w:val="both"/>
      </w:pPr>
      <w:r>
        <w:t xml:space="preserve">La couche de surveillance du banc est l'apport central du projet. Elle se distingue des outils de supervision classiques (Zabbix, Nagios) par deux propriétés : elle mesure la congestion contre une vérité terrain connue, et elle opère à une fréquence suffisante pour capturer les évolutions rapides du délai de file. L'oracle noyau lit les compteurs de file à 10 Hz via tc -s class show. Le canal ping horodaté fournit une mesure indépendante du RTT à 5 Hz. La covariable TCP_INFO est collectée à 1 Hz. tcpdump enregistre l'intégralité du trafic pour les campagnes principales.</w:t>
      </w:r>
    </w:p>
    <w:p>
      <w:pPr>
        <w:spacing w:after="0" w:line="360"/>
        <w:ind w:firstLine="709"/>
        <w:jc w:val="both"/>
      </w:pPr>
      <w:r>
        <w:t xml:space="preserve">L'état de l'art de la mesure du bufferbloat est représenté par flent [43][44] et les outils de bufferbloat.net [57]. Flent orchestre plusieurs sondes simultanées (netperf, iperf, ping) et produit des séries temporelles reproductibles. Mais ces instruments mesurent des liens réels dont la vérité terrain est inconnue : ils observent des symptômes, pas des événements datés. La présente approche inverse la logique : elle fournit d'abord la vérité terrain (oracle), puis compare les observations des instruments tiers à cette référence.</w:t>
      </w:r>
    </w:p>
    <w:p>
      <w:pPr>
        <w:spacing w:after="0" w:line="360"/>
        <w:ind w:firstLine="709"/>
        <w:jc w:val="both"/>
      </w:pPr>
      <w:r>
        <w:t xml:space="preserve">La fréquence d'échantillonnage de chaque canal est choisie en fonction du phénomène observé. L'oracle à 10 Hz capture les variations de file à l'échelle de la centaine de millisecondes, ce qui correspond au temps de réponse de CoDel et des détecteurs de gradient. Le ping à 5 Hz offre une résolution suffisante pour tracer l'évolution du RTT sans alourdir le lien. TCP_INFO à 1 Hz fournit une covariable continue sans nécessiter d'horodatage noyau. Ces fréquences sont calibrées pour éviter que les canaux d'observation eux-mêmes ne deviennent une source de charge significative.</w:t>
      </w:r>
    </w:p>
    <w:p>
      <w:pPr>
        <w:keepNext/>
        <w:spacing w:after="60" w:before="240" w:line="276"/>
        <w:jc w:val="center"/>
      </w:pPr>
      <w:r>
        <w:rPr>
          <w:i/>
          <w:iCs/>
          <w:sz w:val="22"/>
          <w:szCs w:val="22"/>
        </w:rPr>
        <w:t xml:space="preserve">Tableau </w:t>
      </w:r>
      <w:bookmarkStart w:name="RefTab_surv" w:id="1"/>
      <w:fldSimple w:instr="SEQ Tableau \* ARABIC">
        <w:r>
          <w:t xml:space="preserve">0</w:t>
        </w:r>
      </w:fldSimple>
      <w:bookmarkEnd w:id="1"/>
      <w:r>
        <w:rPr>
          <w:i/>
          <w:iCs/>
          <w:sz w:val="22"/>
          <w:szCs w:val="22"/>
        </w:rPr>
        <w:t xml:space="preserve"> – Comparaison des approches de surveillance.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Outil</w:t>
            </w:r>
          </w:p>
        </w:tc>
        <w:tc>
          <w:tcPr>
            <w:tcW w:type="pct" w:w="32%"/>
            <w:shd w:fill="E7E6E6" w:val="clear"/>
            <w:tcMar>
              <w:top w:type="dxa" w:w="60"/>
              <w:left w:type="dxa" w:w="100"/>
              <w:bottom w:type="dxa" w:w="60"/>
              <w:right w:type="dxa" w:w="100"/>
            </w:tcMar>
            <w:vAlign w:val="center"/>
          </w:tcPr>
          <w:p>
            <w:pPr>
              <w:spacing w:after="0" w:line="240"/>
              <w:jc w:val="center"/>
            </w:pPr>
            <w:r>
              <w:rPr>
                <w:b/>
                <w:bCs/>
                <w:sz w:val="22"/>
                <w:szCs w:val="22"/>
              </w:rPr>
              <w:t xml:space="preserve">Grandeur mesurée</w:t>
            </w:r>
          </w:p>
        </w:tc>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Vérité terrain</w:t>
            </w:r>
          </w:p>
        </w:tc>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Retenu</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Oracle tc -s (10 Hz)</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Compteurs de file exacts</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Oui (lecture noyau)</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Oui</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ping horodaté (5 Hz)</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RTT</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Canal indépendant</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Oui</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TCP_INFO (1 Hz)</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RTT et retransmissions par socket</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Covariable</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Oui</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tcpdump</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Captures de référence</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Preuve brute</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Oui</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flent [43]</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Sondes agrégées</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Non (lien réel)</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Comparateur</w:t>
            </w:r>
          </w:p>
        </w:tc>
      </w:tr>
      <w:tr>
        <w:trPr>
          <w:cantSplit/>
        </w:trPr>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Zabbix, Nagios</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Disponibilité, ressources</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Non (supervision)</w:t>
            </w:r>
          </w:p>
        </w:tc>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Non</w:t>
            </w:r>
          </w:p>
        </w:tc>
      </w:tr>
    </w:tbl>
    <w:p>
      <w:pPr>
        <w:spacing w:after="240" w:line="240"/>
      </w:pPr>
    </w:p>
    <w:p>
      <w:pPr>
        <w:spacing w:after="0" w:line="360"/>
        <w:ind w:firstLine="709"/>
        <w:jc w:val="both"/>
      </w:pPr>
      <w:r>
        <w:t xml:space="preserve">Le </w:t>
      </w:r>
      <w:r>
        <w:t xml:space="preserve">Tableau </w:t>
      </w:r>
      <w:fldSimple w:instr="REF RefTab_surv \h">
        <w:r>
          <w:t xml:space="preserve">0</w:t>
        </w:r>
      </w:fldSimple>
      <w:r>
        <w:t xml:space="preserve"> compare les approches de surveillance. Seuls les outils qui fournissent une vérité terrain ou un canal indépendant sont retenus pour les campagnes principales. flent est conservé comme comparateur dans le protocole de validation.</w:t>
      </w:r>
    </w:p>
    <w:p>
      <w:pPr>
        <w:pStyle w:val="Heading3"/>
        <w:keepNext/>
        <w:spacing w:after="160" w:before="280" w:line="360"/>
      </w:pPr>
      <w:r>
        <w:t xml:space="preserve">3.2.11 Analyse des trafics réseaux</w:t>
      </w:r>
    </w:p>
    <w:p>
      <w:pPr>
        <w:spacing w:after="0" w:line="360"/>
        <w:ind w:firstLine="709"/>
        <w:jc w:val="both"/>
      </w:pPr>
      <w:r>
        <w:t xml:space="preserve">L'équivalent de l'interview des utilisateurs, prévue par la méthode d'analyse de l'existant, est, dans ce projet, la caractérisation passive du lien 4G réel pendant la phase de préparation. Des relevés continus de RTT, de débit et de pertes sont effectués sur des créneaux diurnes, sans trafic de charge, afin d'établir le profil de base du lien. Les captures révèlent trois régularités. Premièrement, un effondrement diurne de la capacité aux heures de pointe (perte de 50 à 80 % du débit nominal). Deuxièmement, un élargissement de la distribution du RTT qui précède le franchissement de la moyenne, ce qui est précisément le signal que le test de Kolmogorov-Smirnov est conçu pour capter. Troisièmement, des pertes sporadiques avec gigue, qui imposent des mécanismes de robustesse dans le protocole de mesure.</w:t>
      </w:r>
    </w:p>
    <w:p>
      <w:pPr>
        <w:spacing w:after="0" w:line="360"/>
        <w:ind w:firstLine="709"/>
        <w:jc w:val="both"/>
      </w:pPr>
      <w:r>
        <w:t xml:space="preserve">Ces observations justifient les trois familles d'événements de la matrice expérimentale : l'échelon (chute brutale de capacité), la rampe (dégradation progressive), et l'effondrement diurne (chute cyclique de capacité). Elles justifient également les quatre contextes : propre (aucune perturbation), 50 ms, 160 ms, et 4G avec 0,1 % de perte et 10 ms de gigue. Le coût du forfait, de l'ordre de 30 000 MGA pour quelques gigaoctets, est relevé comme grandeur économique du terrain.</w:t>
      </w:r>
    </w:p>
    <w:p>
      <w:pPr>
        <w:spacing w:after="0" w:line="360"/>
        <w:ind w:firstLine="709"/>
        <w:jc w:val="both"/>
      </w:pPr>
      <w:r>
        <w:t xml:space="preserve">La caractérisation passive du lien 4G remplit également un rôle de calibration pour l'émulation. Les paramètres de netem (délai, gigue, taux de perte) sont ajustés pour que le comportement du lien émulé reproduise les distributions observées sur le terrain. Cette calibration n'est pas une modélisation complète du canal 4G, ce qui sortirait du périmètre du travail, mais un appariement statistique des premiers moments : la moyenne et la variance du RTT, le taux de perte moyen. L'écart résiduel entre le lien émulé et le lien réel est précisément ce que le protocole de validation permet d'évaluer.</w:t>
      </w:r>
    </w:p>
    <w:p>
      <w:pPr>
        <w:spacing w:after="0" w:line="360"/>
        <w:ind w:firstLine="709"/>
        <w:jc w:val="both"/>
      </w:pPr>
      <w:r>
        <w:t xml:space="preserve">Les </w:t>
      </w:r>
      <w:r>
        <w:t xml:space="preserve">Figure </w:t>
      </w:r>
      <w:fldSimple w:instr="REF RefFig_diurne \h">
        <w:r>
          <w:t xml:space="preserve">0</w:t>
        </w:r>
      </w:fldSimple>
      <w:r>
        <w:t xml:space="preserve"> et </w:t>
      </w:r>
      <w:r>
        <w:t xml:space="preserve">Figure </w:t>
      </w:r>
      <w:fldSimple w:instr="REF RefFig_ecdf4g \h">
        <w:r>
          <w:t xml:space="preserve">0</w:t>
        </w:r>
      </w:fldSimple>
      <w:r>
        <w:t xml:space="preserve"> illustrent deux régularités observées lors de cette caractérisation. La </w:t>
      </w:r>
      <w:r>
        <w:t xml:space="preserve">Figure </w:t>
      </w:r>
      <w:fldSimple w:instr="REF RefFig_diurne \h">
        <w:r>
          <w:t xml:space="preserve">0</w:t>
        </w:r>
      </w:fldSimple>
      <w:r>
        <w:t xml:space="preserve"> montre l'effondrement diurne de la capacité aux heures de pointe, avec une perte de débit pouvant atteindre 80 % entre 12 h et 14 h et entre 18 h et 21 h. La </w:t>
      </w:r>
      <w:r>
        <w:t xml:space="preserve">Figure </w:t>
      </w:r>
      <w:fldSimple w:instr="REF RefFig_ecdf4g \h">
        <w:r>
          <w:t xml:space="preserve">0</w:t>
        </w:r>
      </w:fldSimple>
      <w:r>
        <w:t xml:space="preserve"> présente la distribution cumulative du RTT, qui révèle un élargissement progressif de la distribution avant que la moyenne ne franchisse un seuil visible. Ce phénomène est le signal que le test de Kolmogorov-Smirnov exploité dans l'expérience E1 est conçu pour détecter : un changement dans la forme de la distribution avant que la tendance centrale ne se déplace.</w:t>
      </w: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diurne" w:id="1"/>
      <w:fldSimple w:instr="SEQ Figure \* ARABIC">
        <w:r>
          <w:t xml:space="preserve">0</w:t>
        </w:r>
      </w:fldSimple>
      <w:bookmarkEnd w:id="1"/>
      <w:r>
        <w:rPr>
          <w:i/>
          <w:iCs/>
          <w:sz w:val="22"/>
          <w:szCs w:val="22"/>
        </w:rPr>
        <w:t xml:space="preserve"> – Profil diurne de capacité du lien 4G : effondrement aux heures de pointe.</w:t>
      </w: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ecdf4g" w:id="1"/>
      <w:fldSimple w:instr="SEQ Figure \* ARABIC">
        <w:r>
          <w:t xml:space="preserve">0</w:t>
        </w:r>
      </w:fldSimple>
      <w:bookmarkEnd w:id="1"/>
      <w:r>
        <w:rPr>
          <w:i/>
          <w:iCs/>
          <w:sz w:val="22"/>
          <w:szCs w:val="22"/>
        </w:rPr>
        <w:t xml:space="preserve"> – Distribution cumulative du RTT sur le lien 4G : élargissement de la distribution avant franchissement de seuil.</w:t>
      </w:r>
    </w:p>
    <w:p>
      <w:pPr>
        <w:pStyle w:val="Heading2"/>
        <w:keepNext/>
        <w:spacing w:after="200" w:before="360" w:line="360"/>
      </w:pPr>
      <w:r>
        <w:t xml:space="preserve">3.3 Synthèse de l'existant</w:t>
      </w:r>
    </w:p>
    <w:p>
      <w:pPr>
        <w:spacing w:after="0" w:line="360"/>
        <w:ind w:firstLine="709"/>
        <w:jc w:val="both"/>
      </w:pPr>
      <w:r>
        <w:t xml:space="preserve">L'analyse des onze points conduit à trois constats qui se renforcent mutuellement. Le terrain malgache est un lien hautement contraint : un RTT élevé et variable, une capacité diurne qui s'effondre aux heures de pointe, un coût par octet élevé qui rend le gaspillage économiquement significatif, et une alimentation électrique instable qui impose des mécanismes de reprise. L'état de l'art de la mesure, représenté par flent et les outils publics, observe ces liens sans vérité terrain : les instruments disponibles mesurent des symptômes (latence, pertes) sans pouvoir les rattacher à des événements datés. Le banc expérimental, en revanche, fournit une vérité terrain par construction grâce aux compteurs noyau, à l'épinglage vérifié et à l'archive chaînée.</w:t>
      </w:r>
    </w:p>
    <w:p>
      <w:pPr>
        <w:spacing w:after="0" w:line="360"/>
        <w:ind w:firstLine="709"/>
        <w:jc w:val="both"/>
      </w:pPr>
      <w:r>
        <w:t xml:space="preserve">L'écart entre les deux est le point de départ du travail : il manque un instrument qui combine un trafic réaliste, une vérité terrain datée et une vérification indépendante. Cet écart fonde les trois questions de recherche.</w:t>
      </w:r>
    </w:p>
    <w:p>
      <w:pPr>
        <w:spacing w:after="0" w:line="360"/>
        <w:ind w:firstLine="709"/>
        <w:jc w:val="both"/>
      </w:pPr>
      <w:r>
        <w:t xml:space="preserve">La synthèse de l'analyse de l'existant met en évidence un résultat central : la force du travail ne réside pas dans un nouvel algorithme ou un nouveau protocole, mais dans l'articulation entre un banc à vérité terrain et un terrain contraint. L'instrument proposé, l'observatoire CGO, n'est pas un simple outil de mesure supplémentaire : c'est un dispositif qui permet de transformer des observations symptomatiques (latence, pertes) en événements datés et falsifiables. Cette transformation est la contribution méthodologique du travail, et elle n'est possible que parce que l'analyse de l'existant a été conduite systématiquement sur les trois couches identifiées.</w:t>
      </w:r>
    </w:p>
    <w:p>
      <w:pPr>
        <w:spacing w:after="0" w:line="360"/>
        <w:ind w:firstLine="709"/>
        <w:jc w:val="both"/>
      </w:pPr>
      <w:r>
        <w:t xml:space="preserve">Une limitation de cette analyse doit être reconnue. L'analyse de l'existant porte sur un environnement de mesure construit par l'auteur, et non sur un hôpital, une administration ou une entreprise comme le prévoit la méthode d'origine. Il existe donc un risque de circularité : l'analyse de l'existant pourrait être biaisée par le fait que l'auteur est aussi le concepteur du banc. Ce risque est atténué de deux manières. Premièrement, les constats sont fondés sur des mesures objectives (relevés 4G, compteurs noyau) et non sur des déclarations subjectives. Deuxièmement, les onze points sont appliqués avec une grille indépendante du choix de la solution : la critique de l'existant précède la proposition de l'observatoire CGO, qui n'apparaît que dans la partie suivante.</w:t>
      </w:r>
    </w:p>
    <w:p>
      <w:pPr>
        <w:keepNext/>
        <w:spacing w:after="60" w:before="240" w:line="276"/>
        <w:jc w:val="center"/>
      </w:pPr>
      <w:r>
        <w:rPr>
          <w:i/>
          <w:iCs/>
          <w:sz w:val="22"/>
          <w:szCs w:val="22"/>
        </w:rPr>
        <w:t xml:space="preserve">Tableau </w:t>
      </w:r>
      <w:bookmarkStart w:name="RefTab_synthexist" w:id="1"/>
      <w:fldSimple w:instr="SEQ Tableau \* ARABIC">
        <w:r>
          <w:t xml:space="preserve">0</w:t>
        </w:r>
      </w:fldSimple>
      <w:bookmarkEnd w:id="1"/>
      <w:r>
        <w:rPr>
          <w:i/>
          <w:iCs/>
          <w:sz w:val="22"/>
          <w:szCs w:val="22"/>
        </w:rPr>
        <w:t xml:space="preserve"> – Synthèse de l'analyse de l'existant.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32%"/>
            <w:shd w:fill="E7E6E6" w:val="clear"/>
            <w:tcMar>
              <w:top w:type="dxa" w:w="60"/>
              <w:left w:type="dxa" w:w="100"/>
              <w:bottom w:type="dxa" w:w="60"/>
              <w:right w:type="dxa" w:w="100"/>
            </w:tcMar>
            <w:vAlign w:val="center"/>
          </w:tcPr>
          <w:p>
            <w:pPr>
              <w:spacing w:after="0" w:line="240"/>
              <w:jc w:val="center"/>
            </w:pPr>
            <w:r>
              <w:rPr>
                <w:b/>
                <w:bCs/>
                <w:sz w:val="22"/>
                <w:szCs w:val="22"/>
              </w:rPr>
              <w:t xml:space="preserve">Constat</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Fondement (point de la méthode)</w:t>
            </w:r>
          </w:p>
        </w:tc>
        <w:tc>
          <w:tcPr>
            <w:tcW w:type="pct" w:w="42%"/>
            <w:shd w:fill="E7E6E6" w:val="clear"/>
            <w:tcMar>
              <w:top w:type="dxa" w:w="60"/>
              <w:left w:type="dxa" w:w="100"/>
              <w:bottom w:type="dxa" w:w="60"/>
              <w:right w:type="dxa" w:w="100"/>
            </w:tcMar>
            <w:vAlign w:val="center"/>
          </w:tcPr>
          <w:p>
            <w:pPr>
              <w:spacing w:after="0" w:line="240"/>
              <w:jc w:val="center"/>
            </w:pPr>
            <w:r>
              <w:rPr>
                <w:b/>
                <w:bCs/>
                <w:sz w:val="22"/>
                <w:szCs w:val="22"/>
              </w:rPr>
              <w:t xml:space="preserve">Conséquence pour le projet</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Lien hautement contraint</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2, 9, 11</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Profils expérimentaux réalistes, robustesse aux coupures</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Mesure sans vérité terrain</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10</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Apport d’un oracle noyau et de canaux indépendants</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Banc à vérité terrain disponible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1, 3, 8</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Émulation contrôlée avec événements datés</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Écart : pas d’instrument combinant les trois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Synthèse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Objet du travail, questions RQ1 à RQ3</w:t>
            </w:r>
          </w:p>
        </w:tc>
      </w:tr>
    </w:tbl>
    <w:p>
      <w:pPr>
        <w:spacing w:after="240" w:line="240"/>
      </w:pPr>
    </w:p>
    <w:p>
      <w:pPr>
        <w:spacing w:after="0" w:line="360"/>
        <w:ind w:firstLine="709"/>
        <w:jc w:val="both"/>
      </w:pPr>
      <w:r>
        <w:t xml:space="preserve">Le </w:t>
      </w:r>
      <w:r>
        <w:t xml:space="preserve">Tableau </w:t>
      </w:r>
      <w:fldSimple w:instr="REF RefTab_synthexist \h">
        <w:r>
          <w:t xml:space="preserve">0</w:t>
        </w:r>
      </w:fldSimple>
      <w:r>
        <w:t xml:space="preserve"> synthétise les trois constats et leur conséquence. Chaque constat est rattaché aux points de la méthode qui le fondent. L'écart identifié entre un terrain contraint et un état de l'art sans vérité terrain est l'objet du travail et débouche sur les trois questions de recherche.</w:t>
      </w:r>
    </w:p>
    <w:p>
      <w:pPr>
        <w:spacing w:after="0" w:line="360"/>
        <w:ind w:firstLine="709"/>
        <w:jc w:val="both"/>
      </w:pPr>
      <w:r>
        <w:t xml:space="preserve">L'écart identifié par l'analyse de l'existant appelle une solution instrumentale : c'est l'objet de la partie suivante, qui propose l'observatoire CGO et justifie le choix de chacun des outils qui le composent.</w:t>
      </w:r>
    </w:p>
    <w:p>
      <w:pPr>
        <w:pStyle w:val="Heading1"/>
        <w:pageBreakBefore/>
        <w:spacing w:after="360" w:before="0" w:line="360"/>
        <w:jc w:val="center"/>
      </w:pPr>
      <w:r>
        <w:t xml:space="preserve">PARTIE IV : L'OBSERVATOIRE CGO, CONCEPTION ET OUTILS</w:t>
      </w:r>
    </w:p>
    <w:p>
      <w:pPr>
        <w:spacing w:after="0" w:line="360"/>
        <w:ind w:firstLine="709"/>
        <w:jc w:val="both"/>
      </w:pPr>
      <w:r>
        <w:t xml:space="preserve">Cette partie présente la solution qui referme l'écart identifié par l'analyse de l'existant. Elle expose d'abord la solution proposée et son architecture générale. Elle compare ensuite, fonction par fonction, les outils disponibles pour composer l'instrument, selon les six critères retenus. Elle présente alors l'outil retenu, l'observatoire CGO, dans son architecture logicielle, ses fonctionnalités, ses avantages et ses limites. Elle expose enfin les fondements théoriques que l'instrument mobilise, dans l'ordre où ils interviennent dans le protocole de mesure.</w:t>
      </w:r>
    </w:p>
    <w:p>
      <w:pPr>
        <w:pStyle w:val="Heading2"/>
        <w:keepNext/>
        <w:spacing w:after="200" w:before="360" w:line="360"/>
      </w:pPr>
      <w:r>
        <w:t xml:space="preserve">4.1 Solution proposée : l'observatoire à vérité terrain CGO</w:t>
      </w:r>
    </w:p>
    <w:p>
      <w:pPr>
        <w:spacing w:after="0" w:line="360"/>
        <w:ind w:firstLine="709"/>
        <w:jc w:val="both"/>
      </w:pPr>
      <w:r>
        <w:t xml:space="preserve">L'analyse de l'existant a établi un écart : le terrain malgache est un lien hautement contraint, l'état de l'art mesure ces liens sans vérité terrain, et le banc expérimental fournit une vérité terrain par construction. La solution proposée est un instrument qui referme cet écart : l'observatoire CGO (Congestion Ground-truth Observatory).</w:t>
      </w:r>
    </w:p>
    <w:p>
      <w:pPr>
        <w:spacing w:after="0" w:line="360"/>
        <w:ind w:firstLine="709"/>
        <w:jc w:val="both"/>
      </w:pPr>
      <w:r>
        <w:t xml:space="preserve">CGO est un binaire Go statique d'environ 13 Mo qui, sur une machine unique et sans connexion Internet, exécute les fonctions suivantes. Premièrement, il rejoue des baisses de capacité programmées sur un lien façonné par le noyau, avec un horodatage de vérité terrain connu par construction. Deuxièmement, il lit à 10 Hz les compteurs exacts de la file d'attente via l'interface tc -s du noyau, ce qui permet de dater le début réel de chaque événement de congestion. Troisièmement, il confronte cinq détecteurs de congestion à ces événements datés et produit une archive gelée, hachée par SHA-256 et régénérable par un tiers.</w:t>
      </w:r>
    </w:p>
    <w:p>
      <w:pPr>
        <w:spacing w:after="0" w:line="360"/>
        <w:ind w:firstLine="709"/>
        <w:jc w:val="both"/>
      </w:pPr>
      <w:r>
        <w:t xml:space="preserve">La solution répond point par point aux trois questions de recherche. RQ1 (détection) est traitée par l'expérience E1, qui compare les cinq détecteurs sur des scénarios dont le début de congestion est connu. RQ2 (estimation) est traitée par l'expérience E2, qui valide les sondes actives contre l'oracle. RQ3 (atténuation) est traitée par l'expérience E3, qui compare un façonneur adaptatif aux configurations statiques d'AQM.</w:t>
      </w:r>
    </w:p>
    <w:p>
      <w:pPr>
        <w:spacing w:after="0" w:line="360"/>
        <w:ind w:firstLine="709"/>
        <w:jc w:val="both"/>
      </w:pPr>
      <w:r>
        <w:t xml:space="preserve">L'architecture en couches de CGO, que la </w:t>
      </w:r>
      <w:r>
        <w:t xml:space="preserve">Figure </w:t>
      </w:r>
      <w:fldSimple w:instr="REF RefFig_archi \h">
        <w:r>
          <w:t xml:space="preserve">0</w:t>
        </w:r>
      </w:fldSimple>
      <w:r>
        <w:t xml:space="preserve"> présente, détermine la fiabilité des mesures. La couche présentation et API expose les points de terminaison HTTP pour la configuration, le réglage des paramètres et la récupération des preuves. La couche de contrôle implémente la boucle de rétroaction adaptative et l'évaluation des politiques. La couche d'intégration du plan de données interagit avec le noyau via netlink pour instaurer les disciplines de file et les règles de façonnage. La couche d'observabilité collecte les métriques TCP et les signaux temporels. La couche d'expérimentation orchestre les campagnes reproductibles avec injection de fautes et réconciliation d'environnement.</w:t>
      </w:r>
    </w:p>
    <w:p>
      <w:pPr>
        <w:keepNext/>
        <w:spacing w:after="60" w:before="240" w:line="240"/>
        <w:jc w:val="center"/>
      </w:pPr>
      <w:r>
        <w:drawing>
          <wp:inline distT="0" distB="0" distL="0" distR="0">
            <wp:extent cx="57531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3914775"/>
                    </a:xfrm>
                    <a:prstGeom prst="rect">
                      <a:avLst/>
                    </a:prstGeom>
                  </pic:spPr>
                </pic:pic>
              </a:graphicData>
            </a:graphic>
          </wp:inline>
        </w:drawing>
      </w:r>
    </w:p>
    <w:p>
      <w:pPr>
        <w:spacing w:after="240" w:before="0" w:line="276"/>
        <w:jc w:val="center"/>
      </w:pPr>
      <w:r>
        <w:rPr>
          <w:i/>
          <w:iCs/>
          <w:sz w:val="22"/>
          <w:szCs w:val="22"/>
        </w:rPr>
        <w:t xml:space="preserve">Figure </w:t>
      </w:r>
      <w:bookmarkStart w:name="RefFig_archi" w:id="1"/>
      <w:fldSimple w:instr="SEQ Figure \* ARABIC">
        <w:r>
          <w:t xml:space="preserve">0</w:t>
        </w:r>
      </w:fldSimple>
      <w:bookmarkEnd w:id="1"/>
      <w:r>
        <w:rPr>
          <w:i/>
          <w:iCs/>
          <w:sz w:val="22"/>
          <w:szCs w:val="22"/>
        </w:rPr>
        <w:t xml:space="preserve"> – Architecture de l'observatoire CGO : espaces de noms, goulot façonné, canaux d'observation, archive et console embarquée.</w:t>
      </w:r>
    </w:p>
    <w:p>
      <w:pPr>
        <w:spacing w:after="0" w:line="360"/>
        <w:ind w:firstLine="709"/>
        <w:jc w:val="both"/>
      </w:pPr>
      <w:r>
        <w:t xml:space="preserve">L'organisation du code source reflète cette séparation des responsabilités. Le point d'entrée se trouve dans cmd/main_api_first.go. La couche API est assurée par pkg/api/server_v2.go. Le contrôle adaptatif central repose sur pkg/adaptive/controller.go. La configuration est gérée par pkg/config/loader.go. L'intégration noyau pour le façonnage de trafic est réalisée par pkg/qdisc/netlink_manager.go et pkg/shaper/shaper.go. Les campagnes expérimentales sont orchestrées par pkg/campaign/engine.go. La collecte de métriques et les signaux TCP sont pris en charge par pkg/metrics/collector_v2.go. La détection, l'estimation et les statistiques sont réparties dans pkg/detect, pkg/estimate et pkg/stats. Les vérifications d'environnement, l'injection de fautes et les utilitaires de banc d'essai sont assurés par pkg/oracle, pkg/fault et pkg/testbed.</w:t>
      </w:r>
    </w:p>
    <w:p>
      <w:pPr>
        <w:spacing w:after="0" w:line="360"/>
        <w:ind w:firstLine="709"/>
        <w:jc w:val="both"/>
      </w:pPr>
      <w:r>
        <w:t xml:space="preserve">Chaque nombre publié est vérifiable par un tiers. Les données brutes (captures tcpdump, journaux d'oracle, séries temporelles de chaque détecteur) sont archivées dans un format ouvert avec leur empreinte SHA-256. Le dépôt Zenodo [53] garantit la pérennité de l'archive. Un script de régénération permet à tout chercheur de re-dériver chaque figure et chaque nombre du mémoire à partir de l'archive gelée. Cette propriété de vérifiabilité complète est la raison d'être de l'instrument. Les sections suivantes justifient le choix de chaque outil qui compose la solution, puis exposent les fondements théoriques nécessaires à sa compréhension.</w:t>
      </w:r>
    </w:p>
    <w:p>
      <w:pPr>
        <w:pStyle w:val="Heading2"/>
        <w:keepNext/>
        <w:spacing w:after="200" w:before="360" w:line="360"/>
      </w:pPr>
      <w:r>
        <w:t xml:space="preserve">4.2 Comparaison des outils disponibles</w:t>
      </w:r>
    </w:p>
    <w:p>
      <w:pPr>
        <w:spacing w:after="0" w:line="360"/>
        <w:ind w:firstLine="709"/>
        <w:jc w:val="both"/>
      </w:pPr>
      <w:r>
        <w:t xml:space="preserve">La solution est un instrument composé : chaque fonction (émulation de lien, génération de trafic, mesure du RTT, capture, analyse statistique, rendu des figures, terminal et service) fait l'objet d'une comparaison. Les cinq critères du modèle d'analyse sont appliqués : disponibilité, fiabilité, popularité, besoin en ressources, communauté. Un sixième critère, la vérifiabilité, est ajouté : il mesure la capacité de l'outil à produire une sortie déterministe, régénérable et hachable sans dépendance externe.</w:t>
      </w:r>
    </w:p>
    <w:p>
      <w:pPr>
        <w:pStyle w:val="Heading3"/>
        <w:keepNext/>
        <w:spacing w:after="160" w:before="280" w:line="360"/>
      </w:pPr>
      <w:r>
        <w:t xml:space="preserve">4.2.1 Émulation de lien</w:t>
      </w:r>
    </w:p>
    <w:p>
      <w:pPr>
        <w:spacing w:after="0" w:line="360"/>
        <w:ind w:firstLine="709"/>
        <w:jc w:val="both"/>
      </w:pPr>
      <w:r>
        <w:t xml:space="preserve">Trois approches existent pour reproduire les caractéristiques d'un lien contraint : le couple netem et TBF du noyau Linux, l'émulateur en espace utilisateur mahimahi [59], et le simulateur à événements discrets ns-3 [60].</w:t>
      </w:r>
    </w:p>
    <w:p>
      <w:pPr>
        <w:spacing w:after="0" w:line="360"/>
        <w:ind w:firstLine="709"/>
        <w:jc w:val="both"/>
      </w:pPr>
      <w:r>
        <w:t xml:space="preserve">netem et TBF sont intégrés au noyau Linux et ne nécessitent aucune installation [49][50]. Ils sont utilisés par la quasi-totalité des études AQM publiées dans les conférences PAM et IMC. Leur fiabilité est celle du code noyau, éprouvée par des années d'utilisation. Leur principal avantage pour ce projet est la vérifiabilité : les compteurs de file sont lisibles via tc -s, ce qui donne accès à une vérité terrain que ni mahimahi ni ns-3 ne fournissent directement.</w:t>
      </w:r>
    </w:p>
    <w:p>
      <w:pPr>
        <w:spacing w:after="0" w:line="360"/>
        <w:ind w:firstLine="709"/>
        <w:jc w:val="both"/>
      </w:pPr>
      <w:r>
        <w:t xml:space="preserve">mahimahi [59] est un émulateur en espace utilisateur qui isole chaque lien dans un conteneur léger. Il a été utilisé dans des études de qualité vidéo, mais sa maintenance a ralenti. ns-3 [60] est un simulateur complet très utilisé dans le monde académique, mais il fonctionne en simulation discrète, pas en émulation noyau : la vérité terrain y est simulée, pas lue dans les compteurs réels. Le </w:t>
      </w:r>
      <w:r>
        <w:t xml:space="preserve">Tableau </w:t>
      </w:r>
      <w:fldSimple w:instr="REF RefTab_outilEmu \h">
        <w:r>
          <w:t xml:space="preserve">0</w:t>
        </w:r>
      </w:fldSimple>
      <w:r>
        <w:t xml:space="preserve"> résume la comparaison.</w:t>
      </w:r>
    </w:p>
    <w:p>
      <w:pPr>
        <w:keepNext/>
        <w:spacing w:after="60" w:before="240" w:line="276"/>
        <w:jc w:val="center"/>
      </w:pPr>
      <w:r>
        <w:rPr>
          <w:i/>
          <w:iCs/>
          <w:sz w:val="22"/>
          <w:szCs w:val="22"/>
        </w:rPr>
        <w:t xml:space="preserve">Tableau </w:t>
      </w:r>
      <w:bookmarkStart w:name="RefTab_outilEmu" w:id="1"/>
      <w:fldSimple w:instr="SEQ Tableau \* ARABIC">
        <w:r>
          <w:t xml:space="preserve">0</w:t>
        </w:r>
      </w:fldSimple>
      <w:bookmarkEnd w:id="1"/>
      <w:r>
        <w:rPr>
          <w:i/>
          <w:iCs/>
          <w:sz w:val="22"/>
          <w:szCs w:val="22"/>
        </w:rPr>
        <w:t xml:space="preserve"> – Comparaison des outils d'émulation de lien.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Critère</w:t>
            </w:r>
          </w:p>
        </w:tc>
        <w:tc>
          <w:tcPr>
            <w:tcW w:type="pct" w:w="32%"/>
            <w:shd w:fill="E7E6E6" w:val="clear"/>
            <w:tcMar>
              <w:top w:type="dxa" w:w="60"/>
              <w:left w:type="dxa" w:w="100"/>
              <w:bottom w:type="dxa" w:w="60"/>
              <w:right w:type="dxa" w:w="100"/>
            </w:tcMar>
            <w:vAlign w:val="center"/>
          </w:tcPr>
          <w:p>
            <w:pPr>
              <w:spacing w:after="0" w:line="240"/>
              <w:jc w:val="center"/>
            </w:pPr>
            <w:r>
              <w:rPr>
                <w:b/>
                <w:bCs/>
                <w:sz w:val="22"/>
                <w:szCs w:val="22"/>
              </w:rPr>
              <w:t xml:space="preserve">netem + TBF (noyau)</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mahimahi</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ns-3</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Disponibilité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Intégré au noyau, aucune installation [49][50]</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Libre (MIT) [59]</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Libre (GPL) [60]</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Fiabilité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Code noyau en C, éprouvé par la recherche AQM</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C++, isolation par espaces de noms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C++, complet, apprentissage long</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Popularité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Standard des études AQM (utilisé par flent)</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Modérée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élevée (académique)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Ressources</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Nul (noyau)</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Faible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Élevé (simulation discrète)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Communauté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Noyau Linux, très active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Maintenance ralentie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active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Vérifiabilité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Compteurs noyau exacts (tc -s)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Compteurs espace utilisateur</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Vérité simulée, non noyau</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Verdict</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RETENU</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Non requis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Non retenu (lourd, vérité simulée)</w:t>
            </w:r>
          </w:p>
        </w:tc>
      </w:tr>
    </w:tbl>
    <w:p>
      <w:pPr>
        <w:spacing w:after="240" w:line="240"/>
      </w:pPr>
    </w:p>
    <w:p>
      <w:pPr>
        <w:spacing w:after="0" w:line="360"/>
        <w:ind w:firstLine="709"/>
        <w:jc w:val="both"/>
      </w:pPr>
      <w:r>
        <w:t xml:space="preserve">Le verdict est clair : netem et TBF sont retenus comme solution d'émulation principale, parce qu'ils offrent la vérité terrain la plus directe. Les compteurs noyau sont lisibles sans instrumentation supplémentaire. L'interface de gestion des disciplines de file réside dans pkg/qdisc/netlink_manager.go, qui interagit avec le noyau via netlink pour installer, mettre à jour et interroger les qdisc. Le paquet pkg/shaper/shaper.go encapsule les politiques de façonnage et réconcilie l'état désiré avec l'état réel du noyau. Cette séparation entre la mécanique noyau et la politique permet de changer de stratégie de façonnage sans modifier le code d'interaction noyau.</w:t>
      </w:r>
    </w:p>
    <w:p>
      <w:pPr>
        <w:pStyle w:val="Heading3"/>
        <w:keepNext/>
        <w:spacing w:after="160" w:before="280" w:line="360"/>
      </w:pPr>
      <w:r>
        <w:t xml:space="preserve">4.2.2 Génération de trafic</w:t>
      </w:r>
    </w:p>
    <w:p>
      <w:pPr>
        <w:spacing w:after="0" w:line="360"/>
        <w:ind w:firstLine="709"/>
        <w:jc w:val="both"/>
      </w:pPr>
      <w:r>
        <w:t xml:space="preserve">Le trafic de charge peut être produit de trois manières : par le rythme d'émission du noyau (BBR ou CUBIC avec l'option de rythme maximal), par iperf3 en espace utilisateur [48], ou par un limiteur à jeton écrit en espace utilisateur.</w:t>
      </w:r>
    </w:p>
    <w:p>
      <w:pPr>
        <w:spacing w:after="0" w:line="360"/>
        <w:ind w:firstLine="709"/>
        <w:jc w:val="both"/>
      </w:pPr>
      <w:r>
        <w:t xml:space="preserve">Le rythme noyau présente deux avantages décisifs. Premièrement, il évite les artefacts d'ordonnancement de l'espace utilisateur, qui peuvent introduire de la gigue dans le flux de paquets. Deuxièmement, il est entièrement déterministe : le débit imposé par le noyau est reproductible d'une exécution à l'autre. BBR [35] fonde son rythme sur un modèle de bande passante de goulot et de temps de propagation. CUBIC [36][37] augmente la fenêtre de congestion selon une fonction cubique du temps. Les deux sont accessibles comme générateurs de charge par le réglage du contrôle de congestion par socket.</w:t>
      </w:r>
    </w:p>
    <w:p>
      <w:pPr>
        <w:spacing w:after="0" w:line="360"/>
        <w:ind w:firstLine="709"/>
        <w:jc w:val="both"/>
      </w:pPr>
      <w:r>
        <w:t xml:space="preserve">iperf3 n'est pas écarté, mais conservé comme instrument tiers de réconciliation : le pipeline interne de CGO lui est comparé pour vérifier qu'aucun artefact de mesure n'a été introduit. Ce principe de double canal, où un instrument indépendant que l'expérimentateur n'a pas écrit sert de référence croisée, est un élément central de la méthode de validation. Le </w:t>
      </w:r>
      <w:r>
        <w:t xml:space="preserve">Tableau </w:t>
      </w:r>
      <w:fldSimple w:instr="REF RefTab_outilTrafic \h">
        <w:r>
          <w:t xml:space="preserve">0</w:t>
        </w:r>
      </w:fldSimple>
      <w:r>
        <w:t xml:space="preserve"> résume la comparaison.</w:t>
      </w:r>
    </w:p>
    <w:p>
      <w:pPr>
        <w:keepNext/>
        <w:spacing w:after="60" w:before="240" w:line="276"/>
        <w:jc w:val="center"/>
      </w:pPr>
      <w:r>
        <w:rPr>
          <w:i/>
          <w:iCs/>
          <w:sz w:val="22"/>
          <w:szCs w:val="22"/>
        </w:rPr>
        <w:t xml:space="preserve">Tableau </w:t>
      </w:r>
      <w:bookmarkStart w:name="RefTab_outilTrafic" w:id="1"/>
      <w:fldSimple w:instr="SEQ Tableau \* ARABIC">
        <w:r>
          <w:t xml:space="preserve">0</w:t>
        </w:r>
      </w:fldSimple>
      <w:bookmarkEnd w:id="1"/>
      <w:r>
        <w:rPr>
          <w:i/>
          <w:iCs/>
          <w:sz w:val="22"/>
          <w:szCs w:val="22"/>
        </w:rPr>
        <w:t xml:space="preserve"> – Comparaison des générateurs de trafic.</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Critère</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Rythme noyau (BBR/CUBIC)</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iperf3</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Jeton espace utilisateur</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Disponibilité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Intégré au noyau</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Libre (BSD) [48]</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Ad hoc, à écrire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Fiabilité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Rythme noyau, sans artefact</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Espace utilisateur (artefacts possibles)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Dépend de l’implémentation</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Popularité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Standard du contrôle de congestion</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Très élevée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Faible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Ressources</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Nul</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Faible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Faible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Communauté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Noyau Linux</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Active (ESnet)</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Aucune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Vérifiabilité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Rythme reproductible</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Rythme moins stable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Artefacts d’ordonnancement</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Verdict</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RETENU (principal)</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RETENU (réconciliation)</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Non retenu</w:t>
            </w:r>
          </w:p>
        </w:tc>
      </w:tr>
    </w:tbl>
    <w:p>
      <w:pPr>
        <w:spacing w:after="240" w:line="240"/>
      </w:pPr>
    </w:p>
    <w:p>
      <w:pPr>
        <w:spacing w:after="0" w:line="360"/>
        <w:ind w:firstLine="709"/>
        <w:jc w:val="both"/>
      </w:pPr>
      <w:r>
        <w:t xml:space="preserve">La réconciliation avec iperf3 s'effectue en deux temps. Pendant l'expérience, iperf3 mesure le débit du côté récepteur. Après l'expérience, le pipeline interne de CGO calcule le même débit à partir des compteurs de l'oracle et des captures tcpdump. Les trois valeurs sont comparées : si l'écart entre l'oracle et iperf3 dépasse 1 %, la mesure est marquée comme suspecte et l'expérience est rejouée.</w:t>
      </w:r>
    </w:p>
    <w:p>
      <w:pPr>
        <w:pStyle w:val="Heading3"/>
        <w:keepNext/>
        <w:spacing w:after="160" w:before="280" w:line="360"/>
      </w:pPr>
      <w:r>
        <w:t xml:space="preserve">4.2.3 Mesure du RTT</w:t>
      </w:r>
    </w:p>
    <w:p>
      <w:pPr>
        <w:spacing w:after="0" w:line="360"/>
        <w:ind w:firstLine="709"/>
        <w:jc w:val="both"/>
      </w:pPr>
      <w:r>
        <w:t xml:space="preserve">Le canal indépendant de mesure du RTT peut être un ping horodaté par le noyau (ping -D), hping [75], ou une sonde maison écrite spécifiquement pour le projet. ping -D [74] est présent sur toutes les distributions Linux, il utilise l'horodatage noyau et ne nécessite aucun privilège particulier. C'est un instrument que l'expérimentateur n'a pas écrit, ce qui garantit son indépendance : si les résultats de l'oracle et ceux du ping concordent, la probabilité d'une erreur systématique dans les deux chaînes de mesure est faible. Le </w:t>
      </w:r>
      <w:r>
        <w:t xml:space="preserve">Tableau </w:t>
      </w:r>
      <w:fldSimple w:instr="REF RefTab_outilRtt \h">
        <w:r>
          <w:t xml:space="preserve">0</w:t>
        </w:r>
      </w:fldSimple>
      <w:r>
        <w:t xml:space="preserve"> résume la comparaison.</w:t>
      </w:r>
    </w:p>
    <w:p>
      <w:pPr>
        <w:keepNext/>
        <w:spacing w:after="60" w:before="240" w:line="276"/>
        <w:jc w:val="center"/>
      </w:pPr>
      <w:r>
        <w:rPr>
          <w:i/>
          <w:iCs/>
          <w:sz w:val="22"/>
          <w:szCs w:val="22"/>
        </w:rPr>
        <w:t xml:space="preserve">Tableau </w:t>
      </w:r>
      <w:bookmarkStart w:name="RefTab_outilRtt" w:id="1"/>
      <w:fldSimple w:instr="SEQ Tableau \* ARABIC">
        <w:r>
          <w:t xml:space="preserve">0</w:t>
        </w:r>
      </w:fldSimple>
      <w:bookmarkEnd w:id="1"/>
      <w:r>
        <w:rPr>
          <w:i/>
          <w:iCs/>
          <w:sz w:val="22"/>
          <w:szCs w:val="22"/>
        </w:rPr>
        <w:t xml:space="preserve"> – Comparaison des outils de mesure du RTT.</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Critère</w:t>
            </w:r>
          </w:p>
        </w:tc>
        <w:tc>
          <w:tcPr>
            <w:tcW w:type="pct" w:w="34%"/>
            <w:shd w:fill="E7E6E6" w:val="clear"/>
            <w:tcMar>
              <w:top w:type="dxa" w:w="60"/>
              <w:left w:type="dxa" w:w="100"/>
              <w:bottom w:type="dxa" w:w="60"/>
              <w:right w:type="dxa" w:w="100"/>
            </w:tcMar>
            <w:vAlign w:val="center"/>
          </w:tcPr>
          <w:p>
            <w:pPr>
              <w:spacing w:after="0" w:line="240"/>
              <w:jc w:val="center"/>
            </w:pPr>
            <w:r>
              <w:rPr>
                <w:b/>
                <w:bCs/>
                <w:sz w:val="22"/>
                <w:szCs w:val="22"/>
              </w:rPr>
              <w:t xml:space="preserve">ping -D (iputils)</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hping</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Sonde maison</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Disponibilité</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Libre, présent partout [74]</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Libre [75]</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À écrire</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Fiabilité</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Horodatage noyau, précis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Horodatage espace utilisateur</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À valider</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Popularité</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Universelle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Modérée</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Nulle</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Vérifiabilité</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Canal indépendant (non écrit par l’expérimentateur)</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Moins précis</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Perte de l’indépendance</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Verdict</w:t>
            </w:r>
          </w:p>
        </w:tc>
        <w:tc>
          <w:tcPr>
            <w:tcW w:type="pct" w:w="34%"/>
            <w:tcMar>
              <w:top w:type="dxa" w:w="60"/>
              <w:left w:type="dxa" w:w="100"/>
              <w:bottom w:type="dxa" w:w="60"/>
              <w:right w:type="dxa" w:w="100"/>
            </w:tcMar>
            <w:vAlign w:val="center"/>
          </w:tcPr>
          <w:p>
            <w:pPr>
              <w:spacing w:after="0" w:line="240"/>
              <w:jc w:val="left"/>
            </w:pPr>
            <w:r>
              <w:rPr>
                <w:b w:val="false"/>
                <w:bCs w:val="false"/>
                <w:sz w:val="22"/>
                <w:szCs w:val="22"/>
              </w:rPr>
              <w:t xml:space="preserve">RETENU</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Non retenu</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Non retenu</w:t>
            </w:r>
          </w:p>
        </w:tc>
      </w:tr>
    </w:tbl>
    <w:p>
      <w:pPr>
        <w:spacing w:after="240" w:line="240"/>
      </w:pPr>
    </w:p>
    <w:p>
      <w:pPr>
        <w:spacing w:after="0" w:line="360"/>
        <w:ind w:firstLine="709"/>
        <w:jc w:val="both"/>
      </w:pPr>
      <w:r>
        <w:t xml:space="preserve">La fréquence du ping est fixée à 5 Hz, ce qui représente un compromis entre la résolution temporelle et la charge induite sur le lien. Un ping toutes les 200 ms ajoute environ 0,4 kbit/s de trafic pour des paquets de 64 octets, soit 0,0008 % du débit nominal de 50 Mbit/s. Cette charge est négligeable et ne perturbe pas les mesures.</w:t>
      </w:r>
    </w:p>
    <w:p>
      <w:pPr>
        <w:pStyle w:val="Heading3"/>
        <w:keepNext/>
        <w:spacing w:after="160" w:before="280" w:line="360"/>
      </w:pPr>
      <w:r>
        <w:t xml:space="preserve">4.2.4 Capture</w:t>
      </w:r>
    </w:p>
    <w:p>
      <w:pPr>
        <w:spacing w:after="0" w:line="360"/>
        <w:ind w:firstLine="709"/>
        <w:jc w:val="both"/>
      </w:pPr>
      <w:r>
        <w:t xml:space="preserve">La capture des paquets est confiée à tcpdump et tshark [52]. Ces deux outils sont scriptables, reproductibles et largement utilisés dans la communauté de mesure réseau. Wireshark [58], son interface graphique, n'est pas retenu : il n'est pas scriptable et ne peut donc pas être intégré dans une chaîne de traitement automatisée.</w:t>
      </w:r>
    </w:p>
    <w:p>
      <w:pPr>
        <w:spacing w:after="0" w:line="360"/>
        <w:ind w:firstLine="709"/>
        <w:jc w:val="both"/>
      </w:pPr>
      <w:r>
        <w:t xml:space="preserve">Les captures sont déclenchées par le protocole de mesure au début de chaque séquence expérimentale. Les fichiers pcap sont archivés comme preuve brute, avec leur somme SHA-256 dans le manifeste. Un script de post-traitement extrait les métriques nécessaires (RTT par paquet, taux de perte, temps inter-arrivées) sans modifier les fichiers originaux.</w:t>
      </w:r>
    </w:p>
    <w:p>
      <w:pPr>
        <w:pStyle w:val="Heading3"/>
        <w:keepNext/>
        <w:spacing w:after="160" w:before="280" w:line="360"/>
      </w:pPr>
      <w:r>
        <w:t xml:space="preserve">4.2.5 Analyse statistique</w:t>
      </w:r>
    </w:p>
    <w:p>
      <w:pPr>
        <w:spacing w:after="0" w:line="360"/>
        <w:ind w:firstLine="709"/>
        <w:jc w:val="both"/>
      </w:pPr>
      <w:r>
        <w:t xml:space="preserve">Les tests statistiques requis par le protocole de validation sont les suivants : test de Wilcoxon signé pour les comparaisons appariées, bootstrap à graine fixée pour les intervalles de confiance, intervalles de Clopper-Pearson pour les proportions, correction de Holm pour les comparaisons multiples, test de Kolmogorov-Smirnov analytique pour la détection de changement de distribution, et test t apparié pour les grandes séries. Chacun peut être implémenté dans une bibliothèque interne en Go, ou confié à R [61] ou SciPy [62].</w:t>
      </w:r>
    </w:p>
    <w:p>
      <w:pPr>
        <w:spacing w:after="0" w:line="360"/>
        <w:ind w:firstLine="709"/>
        <w:jc w:val="both"/>
      </w:pPr>
      <w:r>
        <w:t xml:space="preserve">Le choix d'une bibliothèque interne se justifie par deux contraintes du projet : le fonctionnement hors ligne (mode avion pendant les campagnes et à la soutenance) et le déterminisme complet (graine fixée, re-pointage identique sur toute machine). R et SciPy sont des environnements fiables et populaires, mais ils exigent une installation séparée et ne garantissent pas le déterminisme inter-plateforme. Le </w:t>
      </w:r>
      <w:r>
        <w:t xml:space="preserve">Tableau </w:t>
      </w:r>
      <w:fldSimple w:instr="REF RefTab_outilStats \h">
        <w:r>
          <w:t xml:space="preserve">0</w:t>
        </w:r>
      </w:fldSimple>
      <w:r>
        <w:t xml:space="preserve"> résume la comparaison.</w:t>
      </w:r>
    </w:p>
    <w:p>
      <w:pPr>
        <w:keepNext/>
        <w:spacing w:after="60" w:before="240" w:line="276"/>
        <w:jc w:val="center"/>
      </w:pPr>
      <w:r>
        <w:rPr>
          <w:i/>
          <w:iCs/>
          <w:sz w:val="22"/>
          <w:szCs w:val="22"/>
        </w:rPr>
        <w:t xml:space="preserve">Tableau </w:t>
      </w:r>
      <w:bookmarkStart w:name="RefTab_outilStats" w:id="1"/>
      <w:fldSimple w:instr="SEQ Tableau \* ARABIC">
        <w:r>
          <w:t xml:space="preserve">0</w:t>
        </w:r>
      </w:fldSimple>
      <w:bookmarkEnd w:id="1"/>
      <w:r>
        <w:rPr>
          <w:i/>
          <w:iCs/>
          <w:sz w:val="22"/>
          <w:szCs w:val="22"/>
        </w:rPr>
        <w:t xml:space="preserve"> – Comparaison des outils statistiques.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Critère</w:t>
            </w:r>
          </w:p>
        </w:tc>
        <w:tc>
          <w:tcPr>
            <w:tcW w:type="pct" w:w="32%"/>
            <w:shd w:fill="E7E6E6" w:val="clear"/>
            <w:tcMar>
              <w:top w:type="dxa" w:w="60"/>
              <w:left w:type="dxa" w:w="100"/>
              <w:bottom w:type="dxa" w:w="60"/>
              <w:right w:type="dxa" w:w="100"/>
            </w:tcMar>
            <w:vAlign w:val="center"/>
          </w:tcPr>
          <w:p>
            <w:pPr>
              <w:spacing w:after="0" w:line="240"/>
              <w:jc w:val="center"/>
            </w:pPr>
            <w:r>
              <w:rPr>
                <w:b/>
                <w:bCs/>
                <w:sz w:val="22"/>
                <w:szCs w:val="22"/>
              </w:rPr>
              <w:t xml:space="preserve">pkg/stats (interne, Go)</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R</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SciPy</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Disponibilité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Embarqué dans le binaire [55]</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Libre [61]</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Libre [62]</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Fiabilité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Tests validés contre les valeurs publiées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fiable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fiable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Popularité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Ad hoc</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élevée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élevée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Ressources</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Nul (embarqué)</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Environnement R</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Python et dépendances</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Communauté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Maintenue par le projet</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active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active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Vérifiabilité</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Graine fixée, déterministe, hors ligne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Environnement externe requis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Environnement externe requis</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Verdict</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RETENU</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Non retenu</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Non retenu</w:t>
            </w:r>
          </w:p>
        </w:tc>
      </w:tr>
    </w:tbl>
    <w:p>
      <w:pPr>
        <w:spacing w:after="240" w:line="240"/>
      </w:pPr>
    </w:p>
    <w:p>
      <w:pPr>
        <w:spacing w:after="0" w:line="360"/>
        <w:ind w:firstLine="709"/>
        <w:jc w:val="both"/>
      </w:pPr>
      <w:r>
        <w:t xml:space="preserve">La bibliothèque pkg/stats de CGO embarque des tests plus spécialisés que la simple implémentation des tests classiques. Elle intègre des méthodes d'inférence bayésienne, d'analyse de variance (ANOVA), de corrélation, de régression et de méthodes bootstrap. Ces outils permettent d'analyser les résultats des campagnes E1, E2 et E3 selon plusieurs cadres statistiques, ce qui renforce la robustesse des conclusions.</w:t>
      </w:r>
    </w:p>
    <w:p>
      <w:pPr>
        <w:pStyle w:val="Heading3"/>
        <w:keepNext/>
        <w:spacing w:after="160" w:before="280" w:line="360"/>
      </w:pPr>
      <w:r>
        <w:t xml:space="preserve">4.2.6 Rendu des figures</w:t>
      </w:r>
    </w:p>
    <w:p>
      <w:pPr>
        <w:spacing w:after="0" w:line="360"/>
        <w:ind w:firstLine="709"/>
        <w:jc w:val="both"/>
      </w:pPr>
      <w:r>
        <w:t xml:space="preserve">Les figures peuvent être produites par gonum/plot et svgo en Go [63][64], par matplotlib en Python [65], ou par Observable Plot et Vega-Lite en JavaScript [66][67]. Le rendu Go produit des SVG déterministes qui peuvent être embarqués dans le binaire lui-même grâce à la directive go:embed [69]. La commande make figures reconstruit chaque figure du mémoire depuis l'archive gelée, sans Python ni navigateur. matplotlib est conservé comme option pour les figures d'annexe, sans être sur le chemin critique. Le </w:t>
      </w:r>
      <w:r>
        <w:t xml:space="preserve">Tableau </w:t>
      </w:r>
      <w:fldSimple w:instr="REF RefTab_outilFig \h">
        <w:r>
          <w:t xml:space="preserve">0</w:t>
        </w:r>
      </w:fldSimple>
      <w:r>
        <w:t xml:space="preserve"> résume la comparaison.</w:t>
      </w:r>
    </w:p>
    <w:p>
      <w:pPr>
        <w:keepNext/>
        <w:spacing w:after="60" w:before="240" w:line="276"/>
        <w:jc w:val="center"/>
      </w:pPr>
      <w:r>
        <w:rPr>
          <w:i/>
          <w:iCs/>
          <w:sz w:val="22"/>
          <w:szCs w:val="22"/>
        </w:rPr>
        <w:t xml:space="preserve">Tableau </w:t>
      </w:r>
      <w:bookmarkStart w:name="RefTab_outilFig" w:id="1"/>
      <w:fldSimple w:instr="SEQ Tableau \* ARABIC">
        <w:r>
          <w:t xml:space="preserve">0</w:t>
        </w:r>
      </w:fldSimple>
      <w:bookmarkEnd w:id="1"/>
      <w:r>
        <w:rPr>
          <w:i/>
          <w:iCs/>
          <w:sz w:val="22"/>
          <w:szCs w:val="22"/>
        </w:rPr>
        <w:t xml:space="preserve"> – Comparaison des outils de rendu des figures.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6%"/>
            <w:shd w:fill="E7E6E6" w:val="clear"/>
            <w:tcMar>
              <w:top w:type="dxa" w:w="60"/>
              <w:left w:type="dxa" w:w="100"/>
              <w:bottom w:type="dxa" w:w="60"/>
              <w:right w:type="dxa" w:w="100"/>
            </w:tcMar>
            <w:vAlign w:val="center"/>
          </w:tcPr>
          <w:p>
            <w:pPr>
              <w:spacing w:after="0" w:line="240"/>
              <w:jc w:val="center"/>
            </w:pPr>
            <w:r>
              <w:rPr>
                <w:b/>
                <w:bCs/>
                <w:sz w:val="22"/>
                <w:szCs w:val="22"/>
              </w:rPr>
              <w:t xml:space="preserve">Critère</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gonum/plot + svgo (Go)</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matplotlib</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Observable Plot / Vega-Lite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Disponibilité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Libre [63][64]</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Libre [65]</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Libre [66][67]</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Fiabilité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Sortie SVG vectorielle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fiable (PNG, PDF)</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Exige un navigateur</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Popularité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Modérée (gonum)</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élevée</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Élevée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Ressources</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Nul (embarqué)</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Python et dépendances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Node ou navigateur</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Communauté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Active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Très active</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Active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Vérifiabilité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SVG déterministe, hachable, hors ligne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Environnement externe</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Non hors ligne</w:t>
            </w:r>
          </w:p>
        </w:tc>
      </w:tr>
      <w:tr>
        <w:trPr>
          <w:cantSplit/>
        </w:trPr>
        <w:tc>
          <w:tcPr>
            <w:tcW w:type="pct" w:w="16%"/>
            <w:tcMar>
              <w:top w:type="dxa" w:w="60"/>
              <w:left w:type="dxa" w:w="100"/>
              <w:bottom w:type="dxa" w:w="60"/>
              <w:right w:type="dxa" w:w="100"/>
            </w:tcMar>
            <w:vAlign w:val="center"/>
          </w:tcPr>
          <w:p>
            <w:pPr>
              <w:spacing w:after="0" w:line="240"/>
              <w:jc w:val="left"/>
            </w:pPr>
            <w:r>
              <w:rPr>
                <w:b w:val="false"/>
                <w:bCs w:val="false"/>
                <w:sz w:val="22"/>
                <w:szCs w:val="22"/>
              </w:rPr>
              <w:t xml:space="preserve">Verdict</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RETENU</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Optionnel (annexes)</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Non retenu</w:t>
            </w:r>
          </w:p>
        </w:tc>
      </w:tr>
    </w:tbl>
    <w:p>
      <w:pPr>
        <w:spacing w:after="240" w:line="240"/>
      </w:pPr>
    </w:p>
    <w:p>
      <w:pPr>
        <w:pStyle w:val="Heading3"/>
        <w:keepNext/>
        <w:spacing w:after="160" w:before="280" w:line="360"/>
      </w:pPr>
      <w:r>
        <w:t xml:space="preserve">4.2.7 Terminal et service</w:t>
      </w:r>
    </w:p>
    <w:p>
      <w:pPr>
        <w:spacing w:after="0" w:line="360"/>
        <w:ind w:firstLine="709"/>
        <w:jc w:val="both"/>
      </w:pPr>
      <w:r>
        <w:t xml:space="preserve">L'interface embarquée de CGO repose sur xterm.js [68] pour le terminal et sur le serveur HTTP du langage Go avec go:embed [69] pour servir l'interface depuis le binaire unique. xterm.js est le standard de fait des terminaux dans le navigateur. Les ressources statiques (HTML, CSS, JavaScript) sont compilées dans le binaire via go:embed, ce qui garantit que l'ensemble du dispositif tient dans un seul fichier exécutable.</w:t>
      </w:r>
    </w:p>
    <w:p>
      <w:pPr>
        <w:spacing w:after="0" w:line="360"/>
        <w:ind w:firstLine="709"/>
        <w:jc w:val="both"/>
      </w:pPr>
      <w:r>
        <w:t xml:space="preserve">Les tableaux de bord généralistes Grafana [70], netdata [71], Zabbix [72] et Nagios [73] ne sont pas retenus. Ce sont des piles serveurs complètes, non embarquables dans un binaire statique de 13 Mo. Surtout, ils mesurent la disponibilité d'une infrastructure, pas la congestion contre une vérité terrain. Les vues scientifiques dont le projet a besoin (ECDF de délais de détection, raster aligné sur les événements, comparaison oracle-sonde) ne sont pas disponibles dans ces outils. flent [43][44] et les outils de bufferbloat.net [57] ne sont pas des candidats à l'implémentation mais des comparateurs méthodologiques : leur rôle est de situer l'apport de CGO dans l'état de l'art.</w:t>
      </w:r>
    </w:p>
    <w:p>
      <w:pPr>
        <w:spacing w:after="0" w:line="360"/>
        <w:ind w:firstLine="709"/>
        <w:jc w:val="both"/>
      </w:pPr>
      <w:r>
        <w:t xml:space="preserve">Le choix de xterm.js plutôt qu'un terminal natif se justifie par une raison pratique : le binaire unique doit fonctionner en mode avion, sans installation. Un terminal dans le navigateur, servi par le binaire lui-même, évite toute dépendance extérieure. L'utilisateur ouvre un navigateur, pointe sur l'adresse locale du serveur HTTP de CGO, et accède à la console, à l'explorateur d'archive et au vérifieur.</w:t>
      </w:r>
    </w:p>
    <w:p>
      <w:pPr>
        <w:pStyle w:val="Heading3"/>
        <w:keepNext/>
        <w:spacing w:after="160" w:before="280" w:line="360"/>
      </w:pPr>
      <w:r>
        <w:t xml:space="preserve">4.2.8 Synthèse des choix d'outils</w:t>
      </w:r>
    </w:p>
    <w:p>
      <w:pPr>
        <w:keepNext/>
        <w:spacing w:after="60" w:before="240" w:line="276"/>
        <w:jc w:val="center"/>
      </w:pPr>
      <w:r>
        <w:rPr>
          <w:i/>
          <w:iCs/>
          <w:sz w:val="22"/>
          <w:szCs w:val="22"/>
        </w:rPr>
        <w:t xml:space="preserve">Tableau </w:t>
      </w:r>
      <w:bookmarkStart w:name="RefTab_outilSynth" w:id="1"/>
      <w:fldSimple w:instr="SEQ Tableau \* ARABIC">
        <w:r>
          <w:t xml:space="preserve">0</w:t>
        </w:r>
      </w:fldSimple>
      <w:bookmarkEnd w:id="1"/>
      <w:r>
        <w:rPr>
          <w:i/>
          <w:iCs/>
          <w:sz w:val="22"/>
          <w:szCs w:val="22"/>
        </w:rPr>
        <w:t xml:space="preserve"> – Synthèse des choix d'outils.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rPr>
          <w:cantSplit/>
          <w:tblHeader/>
        </w:trPr>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Fonction</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Outil retenu</w:t>
            </w:r>
          </w:p>
        </w:tc>
        <w:tc>
          <w:tcPr>
            <w:tcW w:type="pct" w:w="46%"/>
            <w:shd w:fill="E7E6E6" w:val="clear"/>
            <w:tcMar>
              <w:top w:type="dxa" w:w="60"/>
              <w:left w:type="dxa" w:w="100"/>
              <w:bottom w:type="dxa" w:w="60"/>
              <w:right w:type="dxa" w:w="100"/>
            </w:tcMar>
            <w:vAlign w:val="center"/>
          </w:tcPr>
          <w:p>
            <w:pPr>
              <w:spacing w:after="0" w:line="240"/>
              <w:jc w:val="center"/>
            </w:pPr>
            <w:r>
              <w:rPr>
                <w:b/>
                <w:bCs/>
                <w:sz w:val="22"/>
                <w:szCs w:val="22"/>
              </w:rPr>
              <w:t xml:space="preserve">Justification dominante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Émulation de lien</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netem + TBF (noyau)</w:t>
            </w:r>
          </w:p>
        </w:tc>
        <w:tc>
          <w:tcPr>
            <w:tcW w:type="pct" w:w="46%"/>
            <w:tcMar>
              <w:top w:type="dxa" w:w="60"/>
              <w:left w:type="dxa" w:w="100"/>
              <w:bottom w:type="dxa" w:w="60"/>
              <w:right w:type="dxa" w:w="100"/>
            </w:tcMar>
            <w:vAlign w:val="center"/>
          </w:tcPr>
          <w:p>
            <w:pPr>
              <w:spacing w:after="0" w:line="240"/>
              <w:jc w:val="left"/>
            </w:pPr>
            <w:r>
              <w:rPr>
                <w:b w:val="false"/>
                <w:bCs w:val="false"/>
                <w:sz w:val="22"/>
                <w:szCs w:val="22"/>
              </w:rPr>
              <w:t xml:space="preserve">Vérité terrain lisible dans les compteurs noyau</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Génération de trafic</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Rythme noyau (BBR/CUBIC)</w:t>
            </w:r>
          </w:p>
        </w:tc>
        <w:tc>
          <w:tcPr>
            <w:tcW w:type="pct" w:w="46%"/>
            <w:tcMar>
              <w:top w:type="dxa" w:w="60"/>
              <w:left w:type="dxa" w:w="100"/>
              <w:bottom w:type="dxa" w:w="60"/>
              <w:right w:type="dxa" w:w="100"/>
            </w:tcMar>
            <w:vAlign w:val="center"/>
          </w:tcPr>
          <w:p>
            <w:pPr>
              <w:spacing w:after="0" w:line="240"/>
              <w:jc w:val="left"/>
            </w:pPr>
            <w:r>
              <w:rPr>
                <w:b w:val="false"/>
                <w:bCs w:val="false"/>
                <w:sz w:val="22"/>
                <w:szCs w:val="22"/>
              </w:rPr>
              <w:t xml:space="preserve">Absence d’artefacts espace utilisateur</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Mesure du RTT</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ping -D</w:t>
            </w:r>
          </w:p>
        </w:tc>
        <w:tc>
          <w:tcPr>
            <w:tcW w:type="pct" w:w="46%"/>
            <w:tcMar>
              <w:top w:type="dxa" w:w="60"/>
              <w:left w:type="dxa" w:w="100"/>
              <w:bottom w:type="dxa" w:w="60"/>
              <w:right w:type="dxa" w:w="100"/>
            </w:tcMar>
            <w:vAlign w:val="center"/>
          </w:tcPr>
          <w:p>
            <w:pPr>
              <w:spacing w:after="0" w:line="240"/>
              <w:jc w:val="left"/>
            </w:pPr>
            <w:r>
              <w:rPr>
                <w:b w:val="false"/>
                <w:bCs w:val="false"/>
                <w:sz w:val="22"/>
                <w:szCs w:val="22"/>
              </w:rPr>
              <w:t xml:space="preserve">Horodatage noyau, canal indépendant</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Capture</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tcpdump + tshark</w:t>
            </w:r>
          </w:p>
        </w:tc>
        <w:tc>
          <w:tcPr>
            <w:tcW w:type="pct" w:w="46%"/>
            <w:tcMar>
              <w:top w:type="dxa" w:w="60"/>
              <w:left w:type="dxa" w:w="100"/>
              <w:bottom w:type="dxa" w:w="60"/>
              <w:right w:type="dxa" w:w="100"/>
            </w:tcMar>
            <w:vAlign w:val="center"/>
          </w:tcPr>
          <w:p>
            <w:pPr>
              <w:spacing w:after="0" w:line="240"/>
              <w:jc w:val="left"/>
            </w:pPr>
            <w:r>
              <w:rPr>
                <w:b w:val="false"/>
                <w:bCs w:val="false"/>
                <w:sz w:val="22"/>
                <w:szCs w:val="22"/>
              </w:rPr>
              <w:t xml:space="preserve">Scriptable, reproductible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Analyse statistique</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pkg/stats (Go)</w:t>
            </w:r>
          </w:p>
        </w:tc>
        <w:tc>
          <w:tcPr>
            <w:tcW w:type="pct" w:w="46%"/>
            <w:tcMar>
              <w:top w:type="dxa" w:w="60"/>
              <w:left w:type="dxa" w:w="100"/>
              <w:bottom w:type="dxa" w:w="60"/>
              <w:right w:type="dxa" w:w="100"/>
            </w:tcMar>
            <w:vAlign w:val="center"/>
          </w:tcPr>
          <w:p>
            <w:pPr>
              <w:spacing w:after="0" w:line="240"/>
              <w:jc w:val="left"/>
            </w:pPr>
            <w:r>
              <w:rPr>
                <w:b w:val="false"/>
                <w:bCs w:val="false"/>
                <w:sz w:val="22"/>
                <w:szCs w:val="22"/>
              </w:rPr>
              <w:t xml:space="preserve">Déterminisme à graine fixée, hors ligne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Rendu des figures</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gonum/plot + svgo</w:t>
            </w:r>
          </w:p>
        </w:tc>
        <w:tc>
          <w:tcPr>
            <w:tcW w:type="pct" w:w="46%"/>
            <w:tcMar>
              <w:top w:type="dxa" w:w="60"/>
              <w:left w:type="dxa" w:w="100"/>
              <w:bottom w:type="dxa" w:w="60"/>
              <w:right w:type="dxa" w:w="100"/>
            </w:tcMar>
            <w:vAlign w:val="center"/>
          </w:tcPr>
          <w:p>
            <w:pPr>
              <w:spacing w:after="0" w:line="240"/>
              <w:jc w:val="left"/>
            </w:pPr>
            <w:r>
              <w:rPr>
                <w:b w:val="false"/>
                <w:bCs w:val="false"/>
                <w:sz w:val="22"/>
                <w:szCs w:val="22"/>
              </w:rPr>
              <w:t xml:space="preserve">SVG déterministe, hachable, embarqué</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Terminal</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xterm.js</w:t>
            </w:r>
          </w:p>
        </w:tc>
        <w:tc>
          <w:tcPr>
            <w:tcW w:type="pct" w:w="46%"/>
            <w:tcMar>
              <w:top w:type="dxa" w:w="60"/>
              <w:left w:type="dxa" w:w="100"/>
              <w:bottom w:type="dxa" w:w="60"/>
              <w:right w:type="dxa" w:w="100"/>
            </w:tcMar>
            <w:vAlign w:val="center"/>
          </w:tcPr>
          <w:p>
            <w:pPr>
              <w:spacing w:after="0" w:line="240"/>
              <w:jc w:val="left"/>
            </w:pPr>
            <w:r>
              <w:rPr>
                <w:b w:val="false"/>
                <w:bCs w:val="false"/>
                <w:sz w:val="22"/>
                <w:szCs w:val="22"/>
              </w:rPr>
              <w:t xml:space="preserve">Standard de fait, embarquable</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Service et intégration</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Go net/http + go:embed</w:t>
            </w:r>
          </w:p>
        </w:tc>
        <w:tc>
          <w:tcPr>
            <w:tcW w:type="pct" w:w="46%"/>
            <w:tcMar>
              <w:top w:type="dxa" w:w="60"/>
              <w:left w:type="dxa" w:w="100"/>
              <w:bottom w:type="dxa" w:w="60"/>
              <w:right w:type="dxa" w:w="100"/>
            </w:tcMar>
            <w:vAlign w:val="center"/>
          </w:tcPr>
          <w:p>
            <w:pPr>
              <w:spacing w:after="0" w:line="240"/>
              <w:jc w:val="left"/>
            </w:pPr>
            <w:r>
              <w:rPr>
                <w:b w:val="false"/>
                <w:bCs w:val="false"/>
                <w:sz w:val="22"/>
                <w:szCs w:val="22"/>
              </w:rPr>
              <w:t xml:space="preserve">Binaire unique, mode avion</w:t>
            </w:r>
          </w:p>
        </w:tc>
      </w:tr>
    </w:tbl>
    <w:p>
      <w:pPr>
        <w:spacing w:after="240" w:line="240"/>
      </w:pPr>
    </w:p>
    <w:p>
      <w:pPr>
        <w:spacing w:after="0" w:line="360"/>
        <w:ind w:firstLine="709"/>
        <w:jc w:val="both"/>
      </w:pPr>
      <w:r>
        <w:t xml:space="preserve">Le </w:t>
      </w:r>
      <w:r>
        <w:t xml:space="preserve">Tableau </w:t>
      </w:r>
      <w:fldSimple w:instr="REF RefTab_outilSynth \h">
        <w:r>
          <w:t xml:space="preserve">0</w:t>
        </w:r>
      </w:fldSimple>
      <w:r>
        <w:t xml:space="preserve"> résume l'ensemble des choix. Chaque outil retenu satisfait le critère de vérifiabilité : une sortie déterministe, régénérable et hachable sans dépendance externe. Ce critère s'est révélé le plus discriminant de la comparaison : il a écarté des outils pourtant fiables et populaires (R, SciPy, matplotlib en chemin critique) parce qu'ils ne pouvaient pas être embarqués dans le binaire unique ni fonctionner hors ligne.</w:t>
      </w:r>
    </w:p>
    <w:p>
      <w:pPr>
        <w:pStyle w:val="Heading2"/>
        <w:keepNext/>
        <w:spacing w:after="200" w:before="360" w:line="360"/>
      </w:pPr>
      <w:r>
        <w:t xml:space="preserve">4.3 Présentation de l'outil retenu : CGO</w:t>
      </w:r>
    </w:p>
    <w:p>
      <w:pPr>
        <w:pStyle w:val="Heading3"/>
        <w:keepNext/>
        <w:spacing w:after="160" w:before="280" w:line="360"/>
      </w:pPr>
      <w:r>
        <w:t xml:space="preserve">4.3.1 Architecture logicielle et organisation des paquets</w:t>
      </w:r>
    </w:p>
    <w:p>
      <w:pPr>
        <w:spacing w:after="0" w:line="360"/>
        <w:ind w:firstLine="709"/>
        <w:jc w:val="both"/>
      </w:pPr>
      <w:r>
        <w:t xml:space="preserve">CGO est un observatoire de congestion à vérité terrain. C'est un exécutable Go statique (ELF, environ 13 Mo, ressources embarquées à la compilation) qui fonctionne sur une machine virtuelle unique. La VM cible est Ubuntu 24.04 LTS, noyau 6.8, 2 vCPU, 4 Go de RAM, au moins 40 Go de disque. Il ne dépend d'aucun service externe : l'accès à Internet n'est requis qu'en phase de préparation.</w:t>
      </w:r>
    </w:p>
    <w:p>
      <w:pPr>
        <w:spacing w:after="0" w:line="360"/>
        <w:ind w:firstLine="709"/>
        <w:jc w:val="both"/>
      </w:pPr>
      <w:r>
        <w:t xml:space="preserve">Le point d'entrée cmd/main_api_first.go initialise le serveur HTTP, charge la configuration et démarre la boucle de contrôle adaptative. Le paquet pkg/config/loader.go charge et valide la configuration depuis des fichiers et des variables d'environnement, en fournissant des valeurs par défaut et un accès typé. Le paquet pkg/api/server_v2.go expose les points de terminaison HTTP pour l'application de la configuration, le réglage des paramètres, la récupération des preuves et les sondes en direct.</w:t>
      </w:r>
    </w:p>
    <w:p>
      <w:pPr>
        <w:spacing w:after="0" w:line="360"/>
        <w:ind w:firstLine="709"/>
        <w:jc w:val="both"/>
      </w:pPr>
      <w:r>
        <w:t xml:space="preserve">Le cœur du système réside dans pkg/adaptive/controller.go. Ce contrôleur implémente la boucle de rétroaction adaptative : il reçoit les métriques et les événements du pipeline d'observabilité, évalue les politiques et les règles, calcule les ajustements du débit d'émission, et émet les décisions vers le sous-système de façonnage de trafic. Ses méthodes principales sont UpdateParameters, Observe, ComputeAdjustment, ApplyPolicy et LogDecision. Les règles de politique sont encapsulées dans le type PolicyRule, dont la méthode Evaluate retourne un booléen et GetAction retourne l'action à entreprendre.</w:t>
      </w:r>
    </w:p>
    <w:p>
      <w:pPr>
        <w:spacing w:after="0" w:line="360"/>
        <w:ind w:firstLine="709"/>
        <w:jc w:val="both"/>
      </w:pPr>
      <w:r>
        <w:t xml:space="preserve">Le contrôleur adaptatif intègre un module ARMS qui implémente une logique de bandit manchot pour sélectionner la meilleure stratégie de contrôle en fonction des conditions observées. Ce module explore et exploite simultanément les configurations possibles, en attribuant un score de performance à chaque stratégie et en orientant la sélection vers celle qui maximise le débit utile tout en minimisant le délai de file. L'intégration du bandit dans la boucle de contrôle permet à CGO de s'adapter automatiquement aux changements de profil de lien sans intervention humaine.</w:t>
      </w:r>
    </w:p>
    <w:p>
      <w:pPr>
        <w:spacing w:after="0" w:line="360"/>
        <w:ind w:firstLine="709"/>
        <w:jc w:val="both"/>
      </w:pPr>
      <w:r>
        <w:t xml:space="preserve">L'instrument construit deux espaces de noms réseau [51] reliés par une paire veth dont l'interface thesis-veth0 est le goulot. Ce goulot est façonné par netem [49] pour le délai, TBF [50] pour la limitation de débit, et une discipline de file (fq_codel par défaut) pour la gestion active de l'attente. Les offloads matériels sont désactivés sur cette interface. La collecte de métriques est assurée par pkg/metrics/collector_v2.go, qui rassemble les informations TCP via /proc/net/tcp et les interfaces du noyau, calcule les statistiques de délai, de perte et de bande passante, et les diffuse vers le contrôleur adaptatif. Le moteur de campagne pkg/campaign/engine.go orchestre les expériences selon un cycle en quatre phases : initialisation de l'environnement, exécution des phases de test avec fautes contrôlées, collecte des preuves et des artefacts, et génération des rapports.</w:t>
      </w:r>
    </w:p>
    <w:p>
      <w:pPr>
        <w:spacing w:after="0" w:line="360"/>
        <w:ind w:firstLine="709"/>
        <w:jc w:val="both"/>
      </w:pPr>
      <w:r>
        <w:t xml:space="preserve">Le serveur HTTP embarqué propose trois vues, dont la </w:t>
      </w:r>
      <w:r>
        <w:t xml:space="preserve">Figure </w:t>
      </w:r>
      <w:fldSimple w:instr="REF RefFig_console \h">
        <w:r>
          <w:t xml:space="preserve">0</w:t>
        </w:r>
      </w:fldSimple>
      <w:r>
        <w:t xml:space="preserve"> présente la première. La console donne accès au parcours de l'observatoire (détection, traitement, résultat, validation) et au flux de l'oracle à 10 Hz, avec un terminal dans le navigateur servi par xterm.js [68]. L'explorateur d'archive permet de naviguer dans les résultats des campagnes et d'afficher les figures régénérées. Le vérifieur compare les sommes SHA-256 courantes aux valeurs du manifeste et signale toute altération.</w:t>
      </w:r>
    </w:p>
    <w:p>
      <w:pPr>
        <w:keepNext/>
        <w:spacing w:after="60" w:before="240" w:line="240"/>
        <w:jc w:val="center"/>
      </w:pPr>
      <w:r>
        <w:drawing>
          <wp:inline distT="0" distB="0" distL="0" distR="0">
            <wp:extent cx="52959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95900" cy="2819400"/>
                    </a:xfrm>
                    <a:prstGeom prst="rect">
                      <a:avLst/>
                    </a:prstGeom>
                  </pic:spPr>
                </pic:pic>
              </a:graphicData>
            </a:graphic>
          </wp:inline>
        </w:drawing>
      </w:r>
    </w:p>
    <w:p>
      <w:pPr>
        <w:spacing w:after="240" w:before="0" w:line="276"/>
        <w:jc w:val="center"/>
      </w:pPr>
      <w:r>
        <w:rPr>
          <w:i/>
          <w:iCs/>
          <w:sz w:val="22"/>
          <w:szCs w:val="22"/>
        </w:rPr>
        <w:t xml:space="preserve">Figure </w:t>
      </w:r>
      <w:bookmarkStart w:name="RefFig_console" w:id="1"/>
      <w:fldSimple w:instr="SEQ Figure \* ARABIC">
        <w:r>
          <w:t xml:space="preserve">0</w:t>
        </w:r>
      </w:fldSimple>
      <w:bookmarkEnd w:id="1"/>
      <w:r>
        <w:rPr>
          <w:i/>
          <w:iCs/>
          <w:sz w:val="22"/>
          <w:szCs w:val="22"/>
        </w:rPr>
        <w:t xml:space="preserve"> – Capture de la console CGO dans le navigateur : parcours de l'observatoire, flux de l'oracle noyau à 10 Hz et indicateurs d'intégrité SHA-256.</w:t>
      </w:r>
    </w:p>
    <w:p>
      <w:pPr>
        <w:spacing w:after="0" w:line="360"/>
        <w:ind w:firstLine="709"/>
        <w:jc w:val="both"/>
      </w:pPr>
      <w:r>
        <w:t xml:space="preserve">La </w:t>
      </w:r>
      <w:r>
        <w:t xml:space="preserve">Figure </w:t>
      </w:r>
      <w:fldSimple w:instr="REF RefFig_dashboard \h">
        <w:r>
          <w:t xml:space="preserve">0</w:t>
        </w:r>
      </w:fldSimple>
      <w:r>
        <w:t xml:space="preserve"> présente la vue d'ensemble de la console, qui regroupe l'état du goulot, la bande passante instantanée et les alertes de détection. La </w:t>
      </w:r>
      <w:r>
        <w:t xml:space="preserve">Figure </w:t>
      </w:r>
      <w:fldSimple w:instr="REF RefFig_replay2 \h">
        <w:r>
          <w:t xml:space="preserve">0</w:t>
        </w:r>
      </w:fldSimple>
      <w:r>
        <w:t xml:space="preserve"> illustre la relecture d'une séquence E1 : série de RTT, fenêtre de détection et délai confirmé par l'oracle. Le </w:t>
      </w:r>
      <w:r>
        <w:t xml:space="preserve">Figure </w:t>
      </w:r>
      <w:fldSimple w:instr="REF RefFig_audit \h">
        <w:r>
          <w:t xml:space="preserve">0</w:t>
        </w:r>
      </w:fldSimple>
      <w:r>
        <w:t xml:space="preserve"> compare les sommes SHA-256 courantes au manifeste de la campagne. L'</w:t>
      </w:r>
      <w:r>
        <w:t xml:space="preserve">Figure </w:t>
      </w:r>
      <w:fldSimple w:instr="REF RefFig_preuves \h">
        <w:r>
          <w:t xml:space="preserve">0</w:t>
        </w:r>
      </w:fldSimple>
      <w:r>
        <w:t xml:space="preserve"> montre l'explorateur d'archive et le paquet de preuves d'un événement. Enfin, le </w:t>
      </w:r>
      <w:r>
        <w:t xml:space="preserve">Figure </w:t>
      </w:r>
      <w:fldSimple w:instr="REF RefFig_decisions \h">
        <w:r>
          <w:t xml:space="preserve">0</w:t>
        </w:r>
      </w:fldSimple>
      <w:r>
        <w:t xml:space="preserve"> affiche le journal des décisions du contrôleur adaptatif. Ces captures seront remplacées par les copies d'écran définitives de la console.</w:t>
      </w:r>
    </w:p>
    <w:p>
      <w:pPr>
        <w:keepNext/>
        <w:spacing w:after="60" w:before="240" w:line="240"/>
        <w:jc w:val="center"/>
      </w:pPr>
      <w:r>
        <w:drawing>
          <wp:inline distT="0" distB="0" distL="0" distR="0">
            <wp:extent cx="52959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95900" cy="2819400"/>
                    </a:xfrm>
                    <a:prstGeom prst="rect">
                      <a:avLst/>
                    </a:prstGeom>
                  </pic:spPr>
                </pic:pic>
              </a:graphicData>
            </a:graphic>
          </wp:inline>
        </w:drawing>
      </w:r>
    </w:p>
    <w:p>
      <w:pPr>
        <w:spacing w:after="240" w:before="0" w:line="276"/>
        <w:jc w:val="center"/>
      </w:pPr>
      <w:r>
        <w:rPr>
          <w:i/>
          <w:iCs/>
          <w:sz w:val="22"/>
          <w:szCs w:val="22"/>
        </w:rPr>
        <w:t xml:space="preserve">Figure </w:t>
      </w:r>
      <w:bookmarkStart w:name="RefFig_dashboard" w:id="1"/>
      <w:fldSimple w:instr="SEQ Figure \* ARABIC">
        <w:r>
          <w:t xml:space="preserve">0</w:t>
        </w:r>
      </w:fldSimple>
      <w:bookmarkEnd w:id="1"/>
      <w:r>
        <w:rPr>
          <w:i/>
          <w:iCs/>
          <w:sz w:val="22"/>
          <w:szCs w:val="22"/>
        </w:rPr>
        <w:t xml:space="preserve"> – Vue d'ensemble de la console CGO : état du goulot, bande passante instantanée et alertes de détection.</w:t>
      </w:r>
    </w:p>
    <w:p>
      <w:pPr>
        <w:keepNext/>
        <w:spacing w:after="60" w:before="240" w:line="240"/>
        <w:jc w:val="center"/>
      </w:pPr>
      <w:r>
        <w:drawing>
          <wp:inline distT="0" distB="0" distL="0" distR="0">
            <wp:extent cx="52959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95900" cy="2819400"/>
                    </a:xfrm>
                    <a:prstGeom prst="rect">
                      <a:avLst/>
                    </a:prstGeom>
                  </pic:spPr>
                </pic:pic>
              </a:graphicData>
            </a:graphic>
          </wp:inline>
        </w:drawing>
      </w:r>
    </w:p>
    <w:p>
      <w:pPr>
        <w:spacing w:after="240" w:before="0" w:line="276"/>
        <w:jc w:val="center"/>
      </w:pPr>
      <w:r>
        <w:rPr>
          <w:i/>
          <w:iCs/>
          <w:sz w:val="22"/>
          <w:szCs w:val="22"/>
        </w:rPr>
        <w:t xml:space="preserve">Figure </w:t>
      </w:r>
      <w:bookmarkStart w:name="RefFig_replay2" w:id="1"/>
      <w:fldSimple w:instr="SEQ Figure \* ARABIC">
        <w:r>
          <w:t xml:space="preserve">0</w:t>
        </w:r>
      </w:fldSimple>
      <w:bookmarkEnd w:id="1"/>
      <w:r>
        <w:rPr>
          <w:i/>
          <w:iCs/>
          <w:sz w:val="22"/>
          <w:szCs w:val="22"/>
        </w:rPr>
        <w:t xml:space="preserve"> – Relecture d'une séquence E1 dans la console CGO : série de RTT, fenêtre de détection et délai confirmé par l'oracle.</w:t>
      </w:r>
    </w:p>
    <w:p>
      <w:pPr>
        <w:keepNext/>
        <w:spacing w:after="60" w:before="240" w:line="240"/>
        <w:jc w:val="center"/>
      </w:pPr>
      <w:r>
        <w:drawing>
          <wp:inline distT="0" distB="0" distL="0" distR="0">
            <wp:extent cx="52959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95900" cy="2819400"/>
                    </a:xfrm>
                    <a:prstGeom prst="rect">
                      <a:avLst/>
                    </a:prstGeom>
                  </pic:spPr>
                </pic:pic>
              </a:graphicData>
            </a:graphic>
          </wp:inline>
        </w:drawing>
      </w:r>
    </w:p>
    <w:p>
      <w:pPr>
        <w:spacing w:after="240" w:before="0" w:line="276"/>
        <w:jc w:val="center"/>
      </w:pPr>
      <w:r>
        <w:rPr>
          <w:i/>
          <w:iCs/>
          <w:sz w:val="22"/>
          <w:szCs w:val="22"/>
        </w:rPr>
        <w:t xml:space="preserve">Figure </w:t>
      </w:r>
      <w:bookmarkStart w:name="RefFig_audit" w:id="1"/>
      <w:fldSimple w:instr="SEQ Figure \* ARABIC">
        <w:r>
          <w:t xml:space="preserve">0</w:t>
        </w:r>
      </w:fldSimple>
      <w:bookmarkEnd w:id="1"/>
      <w:r>
        <w:rPr>
          <w:i/>
          <w:iCs/>
          <w:sz w:val="22"/>
          <w:szCs w:val="22"/>
        </w:rPr>
        <w:t xml:space="preserve"> – Vérifieur d'intégrité de CGO : comparaison des sommes SHA-256 courantes aux valeurs du manifeste.</w:t>
      </w:r>
    </w:p>
    <w:p>
      <w:pPr>
        <w:keepNext/>
        <w:spacing w:after="60" w:before="240" w:line="240"/>
        <w:jc w:val="center"/>
      </w:pPr>
      <w:r>
        <w:drawing>
          <wp:inline distT="0" distB="0" distL="0" distR="0">
            <wp:extent cx="52959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95900" cy="2819400"/>
                    </a:xfrm>
                    <a:prstGeom prst="rect">
                      <a:avLst/>
                    </a:prstGeom>
                  </pic:spPr>
                </pic:pic>
              </a:graphicData>
            </a:graphic>
          </wp:inline>
        </w:drawing>
      </w:r>
    </w:p>
    <w:p>
      <w:pPr>
        <w:spacing w:after="240" w:before="0" w:line="276"/>
        <w:jc w:val="center"/>
      </w:pPr>
      <w:r>
        <w:rPr>
          <w:i/>
          <w:iCs/>
          <w:sz w:val="22"/>
          <w:szCs w:val="22"/>
        </w:rPr>
        <w:t xml:space="preserve">Figure </w:t>
      </w:r>
      <w:bookmarkStart w:name="RefFig_preuves" w:id="1"/>
      <w:fldSimple w:instr="SEQ Figure \* ARABIC">
        <w:r>
          <w:t xml:space="preserve">0</w:t>
        </w:r>
      </w:fldSimple>
      <w:bookmarkEnd w:id="1"/>
      <w:r>
        <w:rPr>
          <w:i/>
          <w:iCs/>
          <w:sz w:val="22"/>
          <w:szCs w:val="22"/>
        </w:rPr>
        <w:t xml:space="preserve"> – Explorateur d'archive de CGO : paquet de preuves d'un événement (captures tcpdump, journaux d'oracle, décisions).</w:t>
      </w:r>
    </w:p>
    <w:p>
      <w:pPr>
        <w:keepNext/>
        <w:spacing w:after="60" w:before="240" w:line="240"/>
        <w:jc w:val="center"/>
      </w:pPr>
      <w:r>
        <w:drawing>
          <wp:inline distT="0" distB="0" distL="0" distR="0">
            <wp:extent cx="52959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95900" cy="2819400"/>
                    </a:xfrm>
                    <a:prstGeom prst="rect">
                      <a:avLst/>
                    </a:prstGeom>
                  </pic:spPr>
                </pic:pic>
              </a:graphicData>
            </a:graphic>
          </wp:inline>
        </w:drawing>
      </w:r>
    </w:p>
    <w:p>
      <w:pPr>
        <w:spacing w:after="240" w:before="0" w:line="276"/>
        <w:jc w:val="center"/>
      </w:pPr>
      <w:r>
        <w:rPr>
          <w:i/>
          <w:iCs/>
          <w:sz w:val="22"/>
          <w:szCs w:val="22"/>
        </w:rPr>
        <w:t xml:space="preserve">Figure </w:t>
      </w:r>
      <w:bookmarkStart w:name="RefFig_decisions" w:id="1"/>
      <w:fldSimple w:instr="SEQ Figure \* ARABIC">
        <w:r>
          <w:t xml:space="preserve">0</w:t>
        </w:r>
      </w:fldSimple>
      <w:bookmarkEnd w:id="1"/>
      <w:r>
        <w:rPr>
          <w:i/>
          <w:iCs/>
          <w:sz w:val="22"/>
          <w:szCs w:val="22"/>
        </w:rPr>
        <w:t xml:space="preserve"> – Journal des décisions du contrôleur adaptatif : condition, raison et résultat horodatés.</w:t>
      </w:r>
    </w:p>
    <w:p>
      <w:pPr>
        <w:pStyle w:val="Heading3"/>
        <w:keepNext/>
        <w:spacing w:after="160" w:before="280" w:line="360"/>
      </w:pPr>
      <w:r>
        <w:t xml:space="preserve">4.3.2 Fonctionnalités détaillées</w:t>
      </w:r>
    </w:p>
    <w:p>
      <w:pPr>
        <w:spacing w:after="0" w:line="360"/>
        <w:ind w:firstLine="709"/>
        <w:jc w:val="both"/>
      </w:pPr>
      <w:r>
        <w:t xml:space="preserve">L'outil expose les fonctions suivantes. L'ordonnancement d'événements de congestion produit des variations brusques (échelons), progressives (rampes) et cycliques (effondrements diurnes) de la capacité, avec horodatage de vérité terrain. La lecture de l'oracle noyau à 10 Hz via tc -s class show fournit la taille instantanée de la file, le nombre de paquets transmis et abandonnés, et le débit instantané du goulot.</w:t>
      </w:r>
    </w:p>
    <w:p>
      <w:pPr>
        <w:spacing w:after="0" w:line="360"/>
        <w:ind w:firstLine="709"/>
        <w:jc w:val="both"/>
      </w:pPr>
      <w:r>
        <w:t xml:space="preserve">Le pointage hors ligne des cinq détecteurs s'effectue par la commande de re-pointage, déterministe et rejouable sur toute machine. Le détecteur à seuil fixe déclenche une alarme lorsque le RTT dépasse une valeur absolue configurable. Le détecteur à gradient réagit à la pente de la série temporelle du RTT. Le détecteur EWMA lisse le signal avec un facteur alpha configurable et compare la valeur lissée à un seuil. Le détecteur z-score sur médiane glissante normalise le RTT courant par rapport à la distribution locale estimée sur une fenêtre de 60 échantillons. Le cinquième détecteur, le test de Kolmogorov-Smirnov à deux échantillons [39], compare des distributions entières de RTT : il réagit à l'élargissement de la distribution avant que la moyenne ne franchisse un seuil, propriété décisive sur les rampes et les effondrements progressifs.</w:t>
      </w:r>
    </w:p>
    <w:p>
      <w:pPr>
        <w:spacing w:after="0" w:line="360"/>
        <w:ind w:firstLine="709"/>
        <w:jc w:val="both"/>
      </w:pPr>
      <w:r>
        <w:t xml:space="preserve">Les trois expériences E1, E2 et E3 sont exécutées avec leurs scénarios, répétitions et contrôles négatifs. E1 compare les cinq détecteurs sur des scénarios calibrés dont le début de congestion est daté. E2 valide les sondes actives (paire de paquets, train de paquets) contre l'oracle TBF. E3 compare l'atténuation de la congestion par quatre configurations de file : pfifo_fast, fq_codel par défaut, fq_codel réglé et un façonneur adaptatif.</w:t>
      </w:r>
    </w:p>
    <w:p>
      <w:pPr>
        <w:spacing w:after="0" w:line="360"/>
        <w:ind w:firstLine="709"/>
        <w:jc w:val="both"/>
      </w:pPr>
      <w:r>
        <w:t xml:space="preserve">Les contrôles négatifs (sabotages programmés NC-1, NC-2, NC-3) doivent échouer : si l'un d'eux passe, le protocole de mesure est interrompu et l'expérience est invalide. NC-1 désactive l'épinglage de route : si le trafic contourne le goulot, la file ne se forme pas. NC-2 supprime la discipline de file : en l'absence de fq_codel, le bufferbloat doit être visible et le détecteur de délai de file doit le signaler. NC-3 désactive les offloads : le protocole vérifie que cette condition est remplie avant chaque exécution.</w:t>
      </w:r>
    </w:p>
    <w:p>
      <w:pPr>
        <w:spacing w:after="0" w:line="360"/>
        <w:ind w:firstLine="709"/>
        <w:jc w:val="both"/>
      </w:pPr>
      <w:r>
        <w:t xml:space="preserve">La chaîne d'intégrité SHA-256 produit un manifeste qui garantit que les données n'ont pas été modifiées. La régénération des figures depuis l'archive gelée s'effectue par une commande unique. Le protocole de validation est conçu pour être exécuté par un tiers : une fois l'archive téléchargée depuis Zenodo [53], le tiers vérifie les sommes, exécute le script de régénération, et compare les figures produites à celles du mémoire. La </w:t>
      </w:r>
      <w:r>
        <w:t xml:space="preserve">Figure </w:t>
      </w:r>
      <w:fldSimple w:instr="REF RefFig_repro \h">
        <w:r>
          <w:t xml:space="preserve">0</w:t>
        </w:r>
      </w:fldSimple>
      <w:r>
        <w:t xml:space="preserve"> présente cette chaîne de reproductibilité de bout en bout.</w:t>
      </w:r>
    </w:p>
    <w:p>
      <w:pPr>
        <w:keepNext/>
        <w:spacing w:after="60" w:before="240" w:line="240"/>
        <w:jc w:val="center"/>
      </w:pPr>
      <w:r>
        <w:drawing>
          <wp:inline distT="0" distB="0" distL="0" distR="0">
            <wp:extent cx="57531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53100" cy="2628900"/>
                    </a:xfrm>
                    <a:prstGeom prst="rect">
                      <a:avLst/>
                    </a:prstGeom>
                  </pic:spPr>
                </pic:pic>
              </a:graphicData>
            </a:graphic>
          </wp:inline>
        </w:drawing>
      </w:r>
    </w:p>
    <w:p>
      <w:pPr>
        <w:spacing w:after="240" w:before="0" w:line="276"/>
        <w:jc w:val="center"/>
      </w:pPr>
      <w:r>
        <w:rPr>
          <w:i/>
          <w:iCs/>
          <w:sz w:val="22"/>
          <w:szCs w:val="22"/>
        </w:rPr>
        <w:t xml:space="preserve">Figure </w:t>
      </w:r>
      <w:bookmarkStart w:name="RefFig_repro" w:id="1"/>
      <w:fldSimple w:instr="SEQ Figure \* ARABIC">
        <w:r>
          <w:t xml:space="preserve">0</w:t>
        </w:r>
      </w:fldSimple>
      <w:bookmarkEnd w:id="1"/>
      <w:r>
        <w:rPr>
          <w:i/>
          <w:iCs/>
          <w:sz w:val="22"/>
          <w:szCs w:val="22"/>
        </w:rPr>
        <w:t xml:space="preserve"> – Chaîne de reproductibilité de CGO : de la configuration à graine fixée jusqu'aux figures déterministes, avec vérification par un tiers et chaînage SHA-256.</w:t>
      </w:r>
    </w:p>
    <w:p>
      <w:pPr>
        <w:pStyle w:val="Heading3"/>
        <w:keepNext/>
        <w:spacing w:after="160" w:before="280" w:line="360"/>
      </w:pPr>
      <w:r>
        <w:t xml:space="preserve">4.3.3 Avantages et limites</w:t>
      </w:r>
    </w:p>
    <w:p>
      <w:pPr>
        <w:spacing w:after="0" w:line="360"/>
        <w:ind w:firstLine="709"/>
        <w:jc w:val="both"/>
      </w:pPr>
      <w:r>
        <w:t xml:space="preserve">Le </w:t>
      </w:r>
      <w:r>
        <w:t xml:space="preserve">Tableau </w:t>
      </w:r>
      <w:fldSimple w:instr="REF RefTab_avlim \h">
        <w:r>
          <w:t xml:space="preserve">0</w:t>
        </w:r>
      </w:fldSimple>
      <w:r>
        <w:t xml:space="preserve"> présente les avantages et les limites de CGO de manière symétrique. Chaque avantage est accompagné d'une limite reconnue, avec la mitigation adoptée.</w:t>
      </w:r>
    </w:p>
    <w:p>
      <w:pPr>
        <w:keepNext/>
        <w:spacing w:after="60" w:before="240" w:line="276"/>
        <w:jc w:val="center"/>
      </w:pPr>
      <w:r>
        <w:rPr>
          <w:i/>
          <w:iCs/>
          <w:sz w:val="22"/>
          <w:szCs w:val="22"/>
        </w:rPr>
        <w:t xml:space="preserve">Tableau </w:t>
      </w:r>
      <w:bookmarkStart w:name="RefTab_avlim" w:id="1"/>
      <w:fldSimple w:instr="SEQ Tableau \* ARABIC">
        <w:r>
          <w:t xml:space="preserve">0</w:t>
        </w:r>
      </w:fldSimple>
      <w:bookmarkEnd w:id="1"/>
      <w:r>
        <w:rPr>
          <w:i/>
          <w:iCs/>
          <w:sz w:val="22"/>
          <w:szCs w:val="22"/>
        </w:rPr>
        <w:t xml:space="preserve"> – Avantages et limites de CGO.</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50%"/>
            <w:shd w:fill="E7E6E6" w:val="clear"/>
            <w:tcMar>
              <w:top w:type="dxa" w:w="60"/>
              <w:left w:type="dxa" w:w="100"/>
              <w:bottom w:type="dxa" w:w="60"/>
              <w:right w:type="dxa" w:w="100"/>
            </w:tcMar>
            <w:vAlign w:val="center"/>
          </w:tcPr>
          <w:p>
            <w:pPr>
              <w:spacing w:after="0" w:line="240"/>
              <w:jc w:val="center"/>
            </w:pPr>
            <w:r>
              <w:rPr>
                <w:b/>
                <w:bCs/>
                <w:sz w:val="22"/>
                <w:szCs w:val="22"/>
              </w:rPr>
              <w:t xml:space="preserve">Avantages</w:t>
            </w:r>
          </w:p>
        </w:tc>
        <w:tc>
          <w:tcPr>
            <w:tcW w:type="pct" w:w="50%"/>
            <w:shd w:fill="E7E6E6" w:val="clear"/>
            <w:tcMar>
              <w:top w:type="dxa" w:w="60"/>
              <w:left w:type="dxa" w:w="100"/>
              <w:bottom w:type="dxa" w:w="60"/>
              <w:right w:type="dxa" w:w="100"/>
            </w:tcMar>
            <w:vAlign w:val="center"/>
          </w:tcPr>
          <w:p>
            <w:pPr>
              <w:spacing w:after="0" w:line="240"/>
              <w:jc w:val="center"/>
            </w:pPr>
            <w:r>
              <w:rPr>
                <w:b/>
                <w:bCs/>
                <w:sz w:val="22"/>
                <w:szCs w:val="22"/>
              </w:rPr>
              <w:t xml:space="preserve">Limites et mitigations</w:t>
            </w:r>
          </w:p>
        </w:tc>
      </w:tr>
      <w:tr>
        <w:trPr>
          <w:cantSplit/>
        </w:trPr>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Vérité terrain par construction : événements datés, compteurs noyau exacts</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Émulation : la validité externe repose sur le bras 4G réel, activé par défaut</w:t>
            </w:r>
          </w:p>
        </w:tc>
      </w:tr>
      <w:tr>
        <w:trPr>
          <w:cantSplit/>
        </w:trPr>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Double canal, contrôles négatifs, chaîne SHA-256 : résultats difficilement falsifiables</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Machine unique : bruit de VM, mitigé par épinglage processeur, covariable et plans appariés</w:t>
            </w:r>
          </w:p>
        </w:tc>
      </w:tr>
      <w:tr>
        <w:trPr>
          <w:cantSplit/>
        </w:trPr>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Binaire unique, hors ligne, coût nul en logiciel, ~20 000 Ar de matériel</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Périmètre : pas d’eBPF ni de multi-machine, renvoyé aux perspectives</w:t>
            </w:r>
          </w:p>
        </w:tc>
      </w:tr>
      <w:tr>
        <w:trPr>
          <w:cantSplit/>
        </w:trPr>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Reproductibilité complète : make figures, re-pointage, dépôt Zenodo [53]</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Exécution par un seul candidat, mitigée par points de contrôle et niveau minimal pré-enregistré</w:t>
            </w:r>
          </w:p>
        </w:tc>
      </w:tr>
      <w:tr>
        <w:trPr>
          <w:cantSplit/>
        </w:trPr>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Ancrage malgache : bras 4G réel prépayé, profils issus de traces locales</w:t>
            </w:r>
          </w:p>
        </w:tc>
        <w:tc>
          <w:tcPr>
            <w:tcW w:type="pct" w:w="50%"/>
            <w:tcMar>
              <w:top w:type="dxa" w:w="60"/>
              <w:left w:type="dxa" w:w="100"/>
              <w:bottom w:type="dxa" w:w="60"/>
              <w:right w:type="dxa" w:w="100"/>
            </w:tcMar>
            <w:vAlign w:val="center"/>
          </w:tcPr>
          <w:p>
            <w:pPr>
              <w:spacing w:after="0" w:line="240"/>
              <w:jc w:val="left"/>
            </w:pPr>
            <w:r>
              <w:rPr>
                <w:b w:val="false"/>
                <w:bCs w:val="false"/>
                <w:sz w:val="22"/>
                <w:szCs w:val="22"/>
              </w:rPr>
              <w:t xml:space="preserve">Bras réel descriptif (n = 15 à 25), sans assertion inférentielle</w:t>
            </w:r>
          </w:p>
        </w:tc>
      </w:tr>
    </w:tbl>
    <w:p>
      <w:pPr>
        <w:spacing w:after="240" w:line="240"/>
      </w:pPr>
    </w:p>
    <w:p>
      <w:pPr>
        <w:spacing w:after="0" w:line="360"/>
        <w:ind w:firstLine="709"/>
        <w:jc w:val="both"/>
      </w:pPr>
      <w:r>
        <w:t xml:space="preserve">Cinq avantages sont identifiés, chacun avec sa limite. La première limite est la plus importante : CGO fonctionne en émulation, et sa validité externe dépend du bras 4G réel. Aucune assertion inférentielle n'est tirée de ces mesures : elles servent de test de réalité pour vérifier que les résultats d'émulation tiennent sur un lien réel.</w:t>
      </w:r>
    </w:p>
    <w:p>
      <w:pPr>
        <w:spacing w:after="0" w:line="360"/>
        <w:ind w:firstLine="709"/>
        <w:jc w:val="both"/>
      </w:pPr>
      <w:r>
        <w:t xml:space="preserve">Le point important est que CGO n'est pas un outil de monitoring réseau généraliste. Il ne remplace pas Nagios pour la supervision d'infrastructure, ni Wireshark pour le diagnostic de protocole, ni Grafana pour les tableaux de bord en temps réel. C'est un instrument de mesure scientifique, conçu pour une tâche précise : produire des événements de congestion datés contre lesquels des détecteurs sont comparés.</w:t>
      </w:r>
    </w:p>
    <w:p>
      <w:pPr>
        <w:pStyle w:val="Heading3"/>
        <w:keepNext/>
        <w:spacing w:after="160" w:before="280" w:line="360"/>
      </w:pPr>
      <w:r>
        <w:t xml:space="preserve">4.3.4 Environnement de bac à sable et réconciliation</w:t>
      </w:r>
    </w:p>
    <w:p>
      <w:pPr>
        <w:spacing w:after="0" w:line="360"/>
        <w:ind w:firstLine="709"/>
        <w:jc w:val="both"/>
      </w:pPr>
      <w:r>
        <w:t xml:space="preserve">Le paquet pkg/testbed fournit l'environnement de bac à sable dans lequel les expériences sont exécutées. Cet environnement isole chaque campagne dans des espaces de noms Linux dédiés, garantissant que les expériences successives ne s'influencent pas mutuellement. L'isolation est assurée par la création d'espaces de noms réseau, de pid et de montage, ce qui évite les interférences entre le trafic de l'expérience et les processus de la machine hôte.</w:t>
      </w:r>
    </w:p>
    <w:p>
      <w:pPr>
        <w:spacing w:after="0" w:line="360"/>
        <w:ind w:firstLine="709"/>
        <w:jc w:val="both"/>
      </w:pPr>
      <w:r>
        <w:t xml:space="preserve">La procédure de réconciliation d'environnement vérifie que l'état du système est conforme aux attentes avant chaque exécution. Elle vérifie la présence des modules noyau nécessaires (sch_netem, sch_tbf, sch_fq_codel, cls_u32), la disponibilité des espaces de noms, l'absence de processus résiduels d'une campagne précédente, et la désactivation des offloads matériels sur l'interface de goulot. Si l'une de ces conditions n'est pas remplie, le protocole interrompt la campagne et signale l'anomalie.</w:t>
      </w:r>
    </w:p>
    <w:p>
      <w:pPr>
        <w:spacing w:after="0" w:line="360"/>
        <w:ind w:firstLine="709"/>
        <w:jc w:val="both"/>
      </w:pPr>
      <w:r>
        <w:t xml:space="preserve">L'injection de fautes est gérée par pkg/fault. Trois types de fautes sont programmés : la perte de paquets (simulée par netem avec un taux configurable), la gigue (variation du délai de propagation) et la panne de lien (suppression temporaire de l'interface de goulot). Chaque faute est horodatée et enregistrée dans le journal d'expérience, ce qui permet de corréler les réactions des détecteurs avec les événements injectés.</w:t>
      </w:r>
    </w:p>
    <w:p>
      <w:pPr>
        <w:spacing w:after="0" w:line="360"/>
        <w:ind w:firstLine="709"/>
        <w:jc w:val="both"/>
      </w:pPr>
      <w:r>
        <w:t xml:space="preserve">L'oracle, implémenté dans pkg/oracle, est le composant central de vérification. Il lit les compteurs du noyau à 10 Hz, calcule le délai de file instantané, le débit du goulot et le taux de perte, et horodate chaque lecture avec une précision de l'ordre de la milliseconde. Le processus de réconciliation double canal compare les données de l'oracle avec celles du canal indépendant (ping -D pour le RTT, iperf3 pour le débit). Si l'écart entre les deux canaux dépasse le seuil de tolérance (1 % pour le débit, 2 ms pour le RTT médian), l'expérience est marquée comme suspecte et doit être rejouée. Ce seuil a été déterminé empiriquement lors des premières exécutions de calibration, en analysant la distribution des écarts sur des séquences témoins sans congestion.</w:t>
      </w:r>
    </w:p>
    <w:p>
      <w:pPr>
        <w:pStyle w:val="Heading3"/>
        <w:keepNext/>
        <w:spacing w:after="160" w:before="280" w:line="360"/>
      </w:pPr>
      <w:r>
        <w:t xml:space="preserve">4.3.5 Pipeline de données et visualisation</w:t>
      </w:r>
    </w:p>
    <w:p>
      <w:pPr>
        <w:spacing w:after="0" w:line="360"/>
        <w:ind w:firstLine="709"/>
        <w:jc w:val="both"/>
      </w:pPr>
      <w:r>
        <w:t xml:space="preserve">Le pipeline de données de CGO transforme les mesures brutes en indicateurs exploitables selon une chaîne en cinq étapes. La capture acquiert les données brutes (tcpdump, compteurs noyau, sondes ping). L'extraction isole les métriques pertinentes (RTT par paquet, débit instantané, taille de file). L'agrégation calcule les statistiques résumées (médiane, P95, écart-type) sur des fenêtres de temps configurables. L'analyse applique les tests statistiques (Wilcoxon, bootstrap, K-S). La visualisation produit les figures SVG par gonum/plot et svgo.</w:t>
      </w:r>
    </w:p>
    <w:p>
      <w:pPr>
        <w:spacing w:after="0" w:line="360"/>
        <w:ind w:firstLine="709"/>
        <w:jc w:val="both"/>
      </w:pPr>
      <w:r>
        <w:t xml:space="preserve">La visualisation des résultats repose sur quatre types de figures. Les séries temporelles superposent le RTT, le débit et la taille de file sur un même axe temporel, avec les marqueurs d'événements de congestion. Les ECDF comparent les distributions de latence entre configurations. Les rasters alignés superposent les périodes de charge et les détections. Les diagrammes de concordance de Bland et Altman visualisent le biais et les limites de concordance entre canaux.</w:t>
      </w:r>
    </w:p>
    <w:p>
      <w:pPr>
        <w:spacing w:after="0" w:line="360"/>
        <w:ind w:firstLine="709"/>
        <w:jc w:val="both"/>
      </w:pPr>
      <w:r>
        <w:t xml:space="preserve">Le pipeline est conçu pour être entièrement reproductible. Chaque étape prend son entrée depuis l'archive gelée et produit une sortie déterministe. Les figures sont générées au format SVG vectoriel, ce qui garantit qu'elles s'affichent correctement à toute résolution. Les paramètres de visualisation (fenêtres, couleurs, échelles) sont fixés dans un fichier de configuration unique, ce qui évite les divergences entre figures. L'interface web, servie par go:embed, propose une navigation interactive dans les résultats : l'utilisateur sélectionne une campagne, explore ses séquences, visualise les figures régénérées et télécharge les données brutes. Cette interface est conçue pour être utilisée pendant la soutenance, où le jury peut vérifier en direct que les résultats présentés sont identiques à ceux produits par l'archive.</w:t>
      </w:r>
    </w:p>
    <w:p>
      <w:pPr>
        <w:pStyle w:val="Heading3"/>
        <w:keepNext/>
        <w:spacing w:after="160" w:before="280" w:line="360"/>
      </w:pPr>
      <w:r>
        <w:t xml:space="preserve">4.3.6 Détail des algorithmes de détection</w:t>
      </w:r>
    </w:p>
    <w:p>
      <w:pPr>
        <w:spacing w:after="0" w:line="360"/>
        <w:ind w:firstLine="709"/>
        <w:jc w:val="both"/>
      </w:pPr>
      <w:r>
        <w:t xml:space="preserve">Chacun des cinq détecteurs mérite une description précise de son fonctionnement, car les résultats de l'expérience E1 dépendent directement de leurs paramètres. Le détecteur à seuil fixe compare chaque valeur de RTT à un seuil S configurable : si le RTT dépasse S, l'alarme est déclenchée. Ce détecteur est le plus simple et le plus rapide, mais il est aveugle aux variations locales du RTT de base : un seuil adapté à un réseau local sera trop bas pour un lien satellite, et inversement.</w:t>
      </w:r>
    </w:p>
    <w:p>
      <w:pPr>
        <w:spacing w:after="0" w:line="360"/>
        <w:ind w:firstLine="709"/>
        <w:jc w:val="both"/>
      </w:pPr>
      <w:r>
        <w:t xml:space="preserve">Le détecteur à gradient calcule la pente du RTT par régression linéaire sur une fenêtre glissante de N échantillons. Si la pente dépasse un seuil G, l'alarme est déclenchée. Ce détecteur réagit rapidement aux variations brusques (les échelons) mais peut produire des faux positifs sur une gigue normale. En pratique, N est fixé à 10 échantillons (soit 2 secondes à 5 Hz) et G est calibré sur les phases de calibration.</w:t>
      </w:r>
    </w:p>
    <w:p>
      <w:pPr>
        <w:spacing w:after="0" w:line="360"/>
        <w:ind w:firstLine="709"/>
        <w:jc w:val="both"/>
      </w:pPr>
      <w:r>
        <w:t xml:space="preserve">Le détecteur EWMA applique un lissage exponentiel à la série temporelle : la valeur lissée à l'instant t vaut alpha fois le RTT courant plus (1 moins alpha) fois la valeur lissée précédente. La valeur lissée est comparée à un seuil. Le facteur alpha, typiquement fixé à 0,125, contrôle le compromis entre réactivité et lissage : un alpha élevé suit les variations rapides mais peut déclencher des alarmes intempestives, un alpha faible lisse les variations mais retarde la détection.</w:t>
      </w:r>
    </w:p>
    <w:p>
      <w:pPr>
        <w:spacing w:after="0" w:line="360"/>
        <w:ind w:firstLine="709"/>
        <w:jc w:val="both"/>
      </w:pPr>
      <w:r>
        <w:t xml:space="preserve">Le détecteur z-score sur médiane glissante est plus robuste que l'EWMA aux valeurs extrêmes isolées. Il maintient une estimation de la médiane et de l'écart absolu médian (MAD) sur une fenêtre de 60 échantillons. Le z-score est calculé comme l'écart du RTT courant à la médiane, normalisé par le MAD. Si le z-score dépasse un seuil Z (typiquement 3), l'alarme est déclenchée. Ce détecteur s'adapte automatiquement au RTT de base local, ce qui le rend utilisable sur tout type de lien sans recalibration.</w:t>
      </w:r>
    </w:p>
    <w:p>
      <w:pPr>
        <w:spacing w:after="0" w:line="360"/>
        <w:ind w:firstLine="709"/>
        <w:jc w:val="both"/>
      </w:pPr>
      <w:r>
        <w:t xml:space="preserve">Le détecteur par test de Kolmogorov-Smirnov [39] est le plus sensible aux changements subtils de la distribution du RTT. Il compare l'échantillon courant (60 derniers RTT) à l'échantillon de référence (les 60 RTT précédant la fenêtre courante) par le test K-S à deux échantillons. La statistique D mesure la distance maximale entre les deux fonctions de répartition empiriques. Si D dépasse le seuil calibré, l'alarme est déclenchée. Ce détecteur réagit à l'élargissement de la distribution du RTT, qui précède souvent l'augmentation de la moyenne. Son coût est plus élevé que celui des détecteurs ponctuels, car il nécessite de trier les échantillons ; pour une fenêtre de 60 points, le surcoût est négligeable sur du matériel moderne.</w:t>
      </w:r>
    </w:p>
    <w:p>
      <w:pPr>
        <w:pStyle w:val="Heading2"/>
        <w:keepNext/>
        <w:spacing w:after="200" w:before="360" w:line="360"/>
      </w:pPr>
      <w:r>
        <w:t xml:space="preserve">4.4 Fondements théoriques</w:t>
      </w:r>
    </w:p>
    <w:p>
      <w:pPr>
        <w:pStyle w:val="Heading3"/>
        <w:keepNext/>
        <w:spacing w:after="160" w:before="280" w:line="360"/>
      </w:pPr>
      <w:r>
        <w:t xml:space="preserve">4.4.1 Congestion et bufferbloat</w:t>
      </w:r>
    </w:p>
    <w:p>
      <w:pPr>
        <w:spacing w:after="0" w:line="360"/>
        <w:ind w:firstLine="709"/>
        <w:jc w:val="both"/>
      </w:pPr>
      <w:r>
        <w:t xml:space="preserve">Lorsqu'un flux sature un goulot, les paquets s'accumulent dans la file d'attente. Tant que la file n'est pas pleine, il n'y a pas de perte, seulement du délai. Les files surdimensionnées produisent des centaines de millisecondes de délai persistant : c'est le bufferbloat, identifié par Gettys et Nichols [34]. L'objectif, formalisé par Nichols et Jacobson [33] puis par la RFC 7567 [32], est de maintenir le délai de file faible sans sacrifier l'utilisation du lien. La mesure pertinente sur un lien contraint est donc la décomposition du temps d'aller-retour entre délai de propagation (fixe, propre à la distance) et délai de file (variable, propre à la charge), que la </w:t>
      </w:r>
      <w:r>
        <w:t xml:space="preserve">Figure </w:t>
      </w:r>
      <w:fldSimple w:instr="REF RefFig_decomp \h">
        <w:r>
          <w:t xml:space="preserve">0</w:t>
        </w:r>
      </w:fldSimple>
      <w:r>
        <w:t xml:space="preserve"> illustre.</w:t>
      </w:r>
    </w:p>
    <w:p>
      <w:pPr>
        <w:keepNext/>
        <w:spacing w:after="60" w:before="240" w:line="240"/>
        <w:jc w:val="center"/>
      </w:pPr>
      <w:r>
        <w:drawing>
          <wp:inline distT="0" distB="0" distL="0" distR="0">
            <wp:extent cx="57531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53100" cy="3000375"/>
                    </a:xfrm>
                    <a:prstGeom prst="rect">
                      <a:avLst/>
                    </a:prstGeom>
                  </pic:spPr>
                </pic:pic>
              </a:graphicData>
            </a:graphic>
          </wp:inline>
        </w:drawing>
      </w:r>
    </w:p>
    <w:p>
      <w:pPr>
        <w:spacing w:after="240" w:before="0" w:line="276"/>
        <w:jc w:val="center"/>
      </w:pPr>
      <w:r>
        <w:rPr>
          <w:i/>
          <w:iCs/>
          <w:sz w:val="22"/>
          <w:szCs w:val="22"/>
        </w:rPr>
        <w:t xml:space="preserve">Figure </w:t>
      </w:r>
      <w:bookmarkStart w:name="RefFig_decomp" w:id="1"/>
      <w:fldSimple w:instr="SEQ Figure \* ARABIC">
        <w:r>
          <w:t xml:space="preserve">0</w:t>
        </w:r>
      </w:fldSimple>
      <w:bookmarkEnd w:id="1"/>
      <w:r>
        <w:rPr>
          <w:i/>
          <w:iCs/>
          <w:sz w:val="22"/>
          <w:szCs w:val="22"/>
        </w:rPr>
        <w:t xml:space="preserve"> – Décomposition du RTT entre délai de propagation et délai de file, avant et après l'application de fq_codel.</w:t>
      </w:r>
    </w:p>
    <w:p>
      <w:pPr>
        <w:spacing w:after="0" w:line="360"/>
        <w:ind w:firstLine="709"/>
        <w:jc w:val="both"/>
      </w:pPr>
      <w:r>
        <w:t xml:space="preserve">La mesure du délai de file plutôt que du seul RTT total est une décision méthodologique. Le RTT total varie avec la distance et le routage, ce qui le rend difficile à interpréter seul. Le délai de file, en revanche, ne dépend que de la charge et de la capacité du goulot. C'est la grandeur que les AQM cherchent à contrôler et que les détecteurs doivent estimer. L'oracle de CGO permet de réaliser cette décomposition : les compteurs tc -s fournissent la taille instantanée de la file, que l'on convertit en délai de file en divisant par le débit de service.</w:t>
      </w:r>
    </w:p>
    <w:p>
      <w:pPr>
        <w:spacing w:after="0" w:line="360"/>
        <w:ind w:firstLine="709"/>
        <w:jc w:val="both"/>
      </w:pPr>
      <w:r>
        <w:t xml:space="preserve">Ce phénomène est particulièrement aigu sur les liens contraints comme ceux observés à Madagascar. Les files d'attente des routeurs 4G peuvent atteindre plusieurs centaines de paquets, accumulant un délai de plusieurs secondes. Ce délai dégrade l'expérience utilisateur bien avant que la perte de paquets ne se produise. La relation fondamentale qui relie le délai de file, la taille de la file et le débit de service est donnée par la formule de Little : le nombre moyen de paquets dans la file est le produit du débit d'arrivée par le temps d'attente moyen. Sur un lien de capacité C, le délai de file maximal vaut la capacité de la file divisée par C. Pour une file de 1 000 paquets de 1 500 octets sur un lien à 5 Mbit/s, le délai de file maximal atteint 2,4 secondes, ce qui rend la navigation web impossible.</w:t>
      </w:r>
    </w:p>
    <w:p>
      <w:pPr>
        <w:spacing w:after="0" w:line="360"/>
        <w:ind w:firstLine="709"/>
        <w:jc w:val="both"/>
      </w:pPr>
      <w:r>
        <w:t xml:space="preserve">Les mécanismes de contrôle de congestion du noyau Linux interviennent à deux niveaux. Au niveau micro, le contrôle de congestion de la couche transport ajuste la fenêtre d'émission en fonction des pertes et du délai. Au niveau macro, les disciplines de file du noyau gèrent l'ordre et le moment de l'émission des paquets sur l'interface. Les deux niveaux interagissent : le comportement de la qdisc détermine les pertes et le délai que le contrôle de congestion observe.</w:t>
      </w:r>
    </w:p>
    <w:p>
      <w:pPr>
        <w:pStyle w:val="Heading3"/>
        <w:keepNext/>
        <w:spacing w:after="160" w:before="280" w:line="360"/>
      </w:pPr>
      <w:r>
        <w:t xml:space="preserve">4.4.2 Gestion active de file d'attente</w:t>
      </w:r>
    </w:p>
    <w:p>
      <w:pPr>
        <w:spacing w:after="0" w:line="360"/>
        <w:ind w:firstLine="709"/>
        <w:jc w:val="both"/>
      </w:pPr>
      <w:r>
        <w:t xml:space="preserve">CoDel [31] contrôle le délai de file en abandonnant les paquets lorsque la file reste au-dessus d'une cible (5 ms par défaut) pendant un intervalle de 100 ms. fq_codel [30] y ajoute une répartition par flux qui évite qu'un flux glouton n'impose son délai aux autres. CAKE [38] intègre le façonnage de débit et la gestion active de file dans une discipline unique, mais n'est pas disponible par défaut sur Ubuntu 24.04.</w:t>
      </w:r>
    </w:p>
    <w:p>
      <w:pPr>
        <w:spacing w:after="0" w:line="360"/>
        <w:ind w:firstLine="709"/>
        <w:jc w:val="both"/>
      </w:pPr>
      <w:r>
        <w:t xml:space="preserve">L'expérience E3 compare quatre configurations. pfifo_fast, la file simple du noyau, souffre du bufferbloat et sert de référence négative. fq_codel au réglage par défaut du noyau (cible 5 ms, intervalle 100 ms) est la configuration standard. fq_codel avec un réglage optimisé (cible réduite à 2 ms, intervalle adapté à 50 ms) explore l'espace des paramètres. Le façonneur adaptatif, dont le débit est contrôlé par le signal du détecteur, est la configuration candidate. Le </w:t>
      </w:r>
      <w:r>
        <w:t xml:space="preserve">Tableau </w:t>
      </w:r>
      <w:fldSimple w:instr="REF RefTab_qdiscs \h">
        <w:r>
          <w:t xml:space="preserve">0</w:t>
        </w:r>
      </w:fldSimple>
      <w:r>
        <w:t xml:space="preserve"> synthétise ces quatre disciplines.</w:t>
      </w:r>
    </w:p>
    <w:p>
      <w:pPr>
        <w:keepNext/>
        <w:spacing w:after="60" w:before="240" w:line="276"/>
        <w:jc w:val="center"/>
      </w:pPr>
      <w:r>
        <w:rPr>
          <w:i/>
          <w:iCs/>
          <w:sz w:val="22"/>
          <w:szCs w:val="22"/>
        </w:rPr>
        <w:t xml:space="preserve">Tableau </w:t>
      </w:r>
      <w:bookmarkStart w:name="RefTab_qdiscs" w:id="1"/>
      <w:fldSimple w:instr="SEQ Tableau \* ARABIC">
        <w:r>
          <w:t xml:space="preserve">0</w:t>
        </w:r>
      </w:fldSimple>
      <w:bookmarkEnd w:id="1"/>
      <w:r>
        <w:rPr>
          <w:i/>
          <w:iCs/>
          <w:sz w:val="22"/>
          <w:szCs w:val="22"/>
        </w:rPr>
        <w:t xml:space="preserve"> – Synthèse des disciplines de file comparées dans l'expérience E3.</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Bras</w:t>
            </w:r>
          </w:p>
        </w:tc>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Discipline</w:t>
            </w:r>
          </w:p>
        </w:tc>
        <w:tc>
          <w:tcPr>
            <w:tcW w:type="pct" w:w="36%"/>
            <w:shd w:fill="E7E6E6" w:val="clear"/>
            <w:tcMar>
              <w:top w:type="dxa" w:w="60"/>
              <w:left w:type="dxa" w:w="100"/>
              <w:bottom w:type="dxa" w:w="60"/>
              <w:right w:type="dxa" w:w="100"/>
            </w:tcMar>
            <w:vAlign w:val="center"/>
          </w:tcPr>
          <w:p>
            <w:pPr>
              <w:spacing w:after="0" w:line="240"/>
              <w:jc w:val="center"/>
            </w:pPr>
            <w:r>
              <w:rPr>
                <w:b/>
                <w:bCs/>
                <w:sz w:val="22"/>
                <w:szCs w:val="22"/>
              </w:rPr>
              <w:t xml:space="preserve">Paramétrage</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Rôle dans la comparaison</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A0</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pfifo_fast</w:t>
            </w:r>
          </w:p>
        </w:tc>
        <w:tc>
          <w:tcPr>
            <w:tcW w:type="pct" w:w="36%"/>
            <w:tcMar>
              <w:top w:type="dxa" w:w="60"/>
              <w:left w:type="dxa" w:w="100"/>
              <w:bottom w:type="dxa" w:w="60"/>
              <w:right w:type="dxa" w:w="100"/>
            </w:tcMar>
            <w:vAlign w:val="center"/>
          </w:tcPr>
          <w:p>
            <w:pPr>
              <w:spacing w:after="0" w:line="240"/>
              <w:jc w:val="left"/>
            </w:pPr>
            <w:r>
              <w:rPr>
                <w:b w:val="false"/>
                <w:bCs w:val="false"/>
                <w:sz w:val="22"/>
                <w:szCs w:val="22"/>
              </w:rPr>
              <w:t xml:space="preserve">File simple du noyau, sans AQM</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Référence négative (bufferbloat attendu)</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A1</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fq_codel</w:t>
            </w:r>
          </w:p>
        </w:tc>
        <w:tc>
          <w:tcPr>
            <w:tcW w:type="pct" w:w="36%"/>
            <w:tcMar>
              <w:top w:type="dxa" w:w="60"/>
              <w:left w:type="dxa" w:w="100"/>
              <w:bottom w:type="dxa" w:w="60"/>
              <w:right w:type="dxa" w:w="100"/>
            </w:tcMar>
            <w:vAlign w:val="center"/>
          </w:tcPr>
          <w:p>
            <w:pPr>
              <w:spacing w:after="0" w:line="240"/>
              <w:jc w:val="left"/>
            </w:pPr>
            <w:r>
              <w:rPr>
                <w:b w:val="false"/>
                <w:bCs w:val="false"/>
                <w:sz w:val="22"/>
                <w:szCs w:val="22"/>
              </w:rPr>
              <w:t xml:space="preserve">Défaut du noyau : cible 5 ms, intervalle 100 ms</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Configuration standard</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A2</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fq_codel réglé</w:t>
            </w:r>
          </w:p>
        </w:tc>
        <w:tc>
          <w:tcPr>
            <w:tcW w:type="pct" w:w="36%"/>
            <w:tcMar>
              <w:top w:type="dxa" w:w="60"/>
              <w:left w:type="dxa" w:w="100"/>
              <w:bottom w:type="dxa" w:w="60"/>
              <w:right w:type="dxa" w:w="100"/>
            </w:tcMar>
            <w:vAlign w:val="center"/>
          </w:tcPr>
          <w:p>
            <w:pPr>
              <w:spacing w:after="0" w:line="240"/>
              <w:jc w:val="left"/>
            </w:pPr>
            <w:r>
              <w:rPr>
                <w:b w:val="false"/>
                <w:bCs w:val="false"/>
                <w:sz w:val="22"/>
                <w:szCs w:val="22"/>
              </w:rPr>
              <w:t xml:space="preserve">Cible 2 ms, intervalle 50 ms</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Exploration des paramètres</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A3</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Façonneur adaptatif</w:t>
            </w:r>
          </w:p>
        </w:tc>
        <w:tc>
          <w:tcPr>
            <w:tcW w:type="pct" w:w="36%"/>
            <w:tcMar>
              <w:top w:type="dxa" w:w="60"/>
              <w:left w:type="dxa" w:w="100"/>
              <w:bottom w:type="dxa" w:w="60"/>
              <w:right w:type="dxa" w:w="100"/>
            </w:tcMar>
            <w:vAlign w:val="center"/>
          </w:tcPr>
          <w:p>
            <w:pPr>
              <w:spacing w:after="0" w:line="240"/>
              <w:jc w:val="left"/>
            </w:pPr>
            <w:r>
              <w:rPr>
                <w:b w:val="false"/>
                <w:bCs w:val="false"/>
                <w:sz w:val="22"/>
                <w:szCs w:val="22"/>
              </w:rPr>
              <w:t xml:space="preserve">Débit contrôlé par le signal de détection</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Configuration candidate</w:t>
            </w:r>
          </w:p>
        </w:tc>
      </w:tr>
    </w:tbl>
    <w:p>
      <w:pPr>
        <w:spacing w:after="240" w:line="240"/>
      </w:pPr>
    </w:p>
    <w:p>
      <w:pPr>
        <w:spacing w:after="0" w:line="360"/>
        <w:ind w:firstLine="709"/>
        <w:jc w:val="both"/>
      </w:pPr>
      <w:r>
        <w:t xml:space="preserve">Les critères de comparaison sont les suivants. Le QDI (Queue Delay Inflation) mesure la dégradation du délai de file par rapport à une référence sans charge. Le TTB mesure le temps nécessaire pour que la file atteigne sa taille maximale après le début de la congestion. Le P95 de latence des petits objets capture le vécu d'un utilisateur qui télécharge une page web ou envoie un message pendant la congestion. L'indicateur VoIP est dérivé du modèle E [42] de l'ITU-T, qui transforme le délai et la perte en un score de qualité perçue.</w:t>
      </w:r>
    </w:p>
    <w:p>
      <w:pPr>
        <w:spacing w:after="0" w:line="360"/>
        <w:ind w:firstLine="709"/>
        <w:jc w:val="both"/>
      </w:pPr>
      <w:r>
        <w:t xml:space="preserve">La gestion active de file n'est pas une panacée. Sur un lien où le débit varie rapidement (comme le profil 4G entre 5 et 50 Mbit/s), une AQM trop agressive peut abandonner des paquets inutilement pendant les creux de trafic, dégradant le débit utile sans améliorer le délai. L'expérience E3 est conçue pour détecter ce phénomène : si fq_codel réduit le débit utile de plus de 5 % par rapport à pfifo_fast sans améliorer le délai, alors le réglage doit être adapté.</w:t>
      </w:r>
    </w:p>
    <w:p>
      <w:pPr>
        <w:pStyle w:val="Heading3"/>
        <w:keepNext/>
        <w:spacing w:after="160" w:before="280" w:line="360"/>
      </w:pPr>
      <w:r>
        <w:t xml:space="preserve">4.4.3 Contrôle de congestion</w:t>
      </w:r>
    </w:p>
    <w:p>
      <w:pPr>
        <w:spacing w:after="0" w:line="360"/>
        <w:ind w:firstLine="709"/>
        <w:jc w:val="both"/>
      </w:pPr>
      <w:r>
        <w:t xml:space="preserve">CUBIC [36][37], fondé sur la perte, est le comportement par défaut de Linux. Il augmente la fenêtre de congestion selon une fonction cubique du temps écoulé depuis la dernière perte, ce qui le rend performant sur les liens à haut produit débit-délai. BBR [35] fonde son rythme sur un modèle de bande passante de goulot et de temps de propagation, sans attendre la perte pour réduire le débit. Le contrôle de congestion est fixé par socket, ce qui permet de comparer le comportement de CUBIC et de BBR sur les mêmes scénarios.</w:t>
      </w:r>
    </w:p>
    <w:p>
      <w:pPr>
        <w:spacing w:after="0" w:line="360"/>
        <w:ind w:firstLine="709"/>
        <w:jc w:val="both"/>
      </w:pPr>
      <w:r>
        <w:t xml:space="preserve">La comparaison entre CUBIC et BBR est instructive pour le contexte malgache. CUBIC, étant fondé sur la perte, remplit la file jusqu'au débordement avant de réduire son rythme. Sur un lien à haut produit débit-délai comme le profil VSAT, cette attente peut durer plusieurs secondes, pendant lesquelles la file atteint plusieurs mégaoctets. BBR, en modélisant le goulot, évite ce remplissage excessif mais peut sous-estimer la bande passante disponible lorsque le trafic traversant varie rapidement. Ni CUBIC ni BBR n'est un candidat à la solution : ils sont utilisés comme générateurs de charge pour mettre à l'épreuve les détecteurs et les AQM. Le choix de l'algorithme de contrôle de congestion n'est pas l'objet du travail ; l'objet est la méthode de mesure qui permet de les comparer.</w:t>
      </w:r>
    </w:p>
    <w:p>
      <w:pPr>
        <w:pStyle w:val="Heading3"/>
        <w:keepNext/>
        <w:spacing w:after="160" w:before="280" w:line="360"/>
      </w:pPr>
      <w:r>
        <w:t xml:space="preserve">4.4.4 Détection d'événements de congestion</w:t>
      </w:r>
    </w:p>
    <w:p>
      <w:pPr>
        <w:spacing w:after="0" w:line="360"/>
        <w:ind w:firstLine="709"/>
        <w:jc w:val="both"/>
      </w:pPr>
      <w:r>
        <w:t xml:space="preserve">Le moteur de détection de CGO repose sur une interface commune qui permet d'ajouter de nouveaux détecteurs sans modifier le reste du système. Chaque détecteur implémente un contrat d'interface avec une méthode Evaluate qui retourne un score ou une alarme. Cette conception permet de comparer les algorithmes sur des bases égales. Le </w:t>
      </w:r>
      <w:r>
        <w:t xml:space="preserve">Tableau </w:t>
      </w:r>
      <w:fldSimple w:instr="REF RefTab_detecteurs \h">
        <w:r>
          <w:t xml:space="preserve">0</w:t>
        </w:r>
      </w:fldSimple>
      <w:r>
        <w:t xml:space="preserve"> synthétise les cinq détecteurs, leur principe et leur compromis attendu.</w:t>
      </w:r>
    </w:p>
    <w:p>
      <w:pPr>
        <w:keepNext/>
        <w:spacing w:after="60" w:before="240" w:line="276"/>
        <w:jc w:val="center"/>
      </w:pPr>
      <w:r>
        <w:rPr>
          <w:i/>
          <w:iCs/>
          <w:sz w:val="22"/>
          <w:szCs w:val="22"/>
        </w:rPr>
        <w:t xml:space="preserve">Tableau </w:t>
      </w:r>
      <w:bookmarkStart w:name="RefTab_detecteurs" w:id="1"/>
      <w:fldSimple w:instr="SEQ Tableau \* ARABIC">
        <w:r>
          <w:t xml:space="preserve">0</w:t>
        </w:r>
      </w:fldSimple>
      <w:bookmarkEnd w:id="1"/>
      <w:r>
        <w:rPr>
          <w:i/>
          <w:iCs/>
          <w:sz w:val="22"/>
          <w:szCs w:val="22"/>
        </w:rPr>
        <w:t xml:space="preserve"> – Synthèse des détecteurs d'événements de congestion.</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8%"/>
            <w:shd w:fill="E7E6E6" w:val="clear"/>
            <w:tcMar>
              <w:top w:type="dxa" w:w="60"/>
              <w:left w:type="dxa" w:w="100"/>
              <w:bottom w:type="dxa" w:w="60"/>
              <w:right w:type="dxa" w:w="100"/>
            </w:tcMar>
            <w:vAlign w:val="center"/>
          </w:tcPr>
          <w:p>
            <w:pPr>
              <w:spacing w:after="0" w:line="240"/>
              <w:jc w:val="center"/>
            </w:pPr>
            <w:r>
              <w:rPr>
                <w:b/>
                <w:bCs/>
                <w:sz w:val="22"/>
                <w:szCs w:val="22"/>
              </w:rPr>
              <w:t xml:space="preserve">Détecteur</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Principe</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Paramètres clés</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Compromis attendu</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Seuil fixe</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RTT comparé à un seuil absolu</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Seuil 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Simple mais aveugle au RTT de base</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Gradient</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Pente locale par régression linéaire</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Fenêtre N = 10, seuil G</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Rapide sur échelons, FP sur gigue</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EWMA</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Lissage exponentiel puis seuil</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alpha = 0,125, seuil</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Peu de FP, détection retardée</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z-score (BaDDrD)</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Écart normalisé à la médiane glissante (MAD)</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Fenêtre 60, seuil Z = 3</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Auto-adaptatif au lien</w:t>
            </w:r>
          </w:p>
        </w:tc>
      </w:tr>
      <w:tr>
        <w:trPr>
          <w:cantSplit/>
        </w:trPr>
        <w:tc>
          <w:tcPr>
            <w:tcW w:type="pct" w:w="18%"/>
            <w:tcMar>
              <w:top w:type="dxa" w:w="60"/>
              <w:left w:type="dxa" w:w="100"/>
              <w:bottom w:type="dxa" w:w="60"/>
              <w:right w:type="dxa" w:w="100"/>
            </w:tcMar>
            <w:vAlign w:val="center"/>
          </w:tcPr>
          <w:p>
            <w:pPr>
              <w:spacing w:after="0" w:line="240"/>
              <w:jc w:val="left"/>
            </w:pPr>
            <w:r>
              <w:rPr>
                <w:b w:val="false"/>
                <w:bCs w:val="false"/>
                <w:sz w:val="22"/>
                <w:szCs w:val="22"/>
              </w:rPr>
              <w:t xml:space="preserve">K-S à deux échantillons</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Distance entre distributions de RTT</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Fenêtres 60/60, seuil D calibré</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Précoce sur rampes, FP plus élevés</w:t>
            </w:r>
          </w:p>
        </w:tc>
      </w:tr>
    </w:tbl>
    <w:p>
      <w:pPr>
        <w:spacing w:after="240" w:line="240"/>
      </w:pPr>
    </w:p>
    <w:p>
      <w:pPr>
        <w:spacing w:after="0" w:line="360"/>
        <w:ind w:firstLine="709"/>
        <w:jc w:val="both"/>
      </w:pPr>
      <w:r>
        <w:t xml:space="preserve">Les cinq détecteurs couvrent un spectre allant du plus simple au plus sophistiqué. Le seuil de détection du test K-S est calibré sur des données de calibration enregistrées en l'absence de congestion, où les variations du RTT sont uniquement dues au bruit de mesure. Cette calibration préliminaire fixe la valeur de la distance de Kolmogorov-Smirnov au-delà de laquelle l'alarme est déclenchée, ce qui permet de comparer les détecteurs à taux de faux positifs contrôlé.</w:t>
      </w:r>
    </w:p>
    <w:p>
      <w:pPr>
        <w:pStyle w:val="Heading3"/>
        <w:keepNext/>
        <w:spacing w:after="160" w:before="280" w:line="360"/>
      </w:pPr>
      <w:r>
        <w:t xml:space="preserve">4.4.5 Estimation de bande passante</w:t>
      </w:r>
    </w:p>
    <w:p>
      <w:pPr>
        <w:spacing w:after="0" w:line="360"/>
        <w:ind w:firstLine="709"/>
        <w:jc w:val="both"/>
      </w:pPr>
      <w:r>
        <w:t xml:space="preserve">Deux méthodes de sondes actives sont validées dans l'expérience E2. La dispersion de paires de paquets envoie deux paquets à la suite et estime la bande passante à partir de l'écart de leurs temps d'arrivée [40]. Le train de paquets envoie une rafale plus longue et estime la bande passante moyenne de la rafale [41].</w:t>
      </w:r>
    </w:p>
    <w:p>
      <w:pPr>
        <w:spacing w:after="0" w:line="360"/>
        <w:ind w:firstLine="709"/>
        <w:jc w:val="both"/>
      </w:pPr>
      <w:r>
        <w:t xml:space="preserve">Les deux méthodes sont validées contre l'oracle dans un cadrage d'étude de concordance [45]. L'oracle fournit la bande passante réelle du goulot, lue dans les compteurs TBF. Les sondes fournissent une estimation. L'accord entre les deux est quantifié par la méthode de Bland et Altman, qui mesure le biais et les limites de concordance. Cette méthode est choisie parce qu'elle révèle la structure de l'erreur d'estimation : le biais indique si la sonde surestime ou sous-estime systématiquement la bande passante, et les limites de concordance (à 1,96 écart-type) donnent l'intervalle dans lequel 95 % des erreurs se situent. Une sonde qui aurait un biais nul mais des limites de concordance larges serait précise en moyenne mais inutilisable pour une estimation instantanée.</w:t>
      </w:r>
    </w:p>
    <w:p>
      <w:pPr>
        <w:spacing w:after="0" w:line="360"/>
        <w:ind w:firstLine="709"/>
        <w:jc w:val="both"/>
      </w:pPr>
      <w:r>
        <w:t xml:space="preserve">L'expérience E2 compare les deux méthodes sur les trois types de liens (VSAT, 4G fixe, 4G mobile) et sur une gamme de charges traversantes (0 %, 25 %, 50 %, 75 % du débit nominal). Le protocole prévoit 20 répétitions par condition, ce qui permet de construire des intervalles de confiance sur le biais et les limites de concordance par bootstrap.</w:t>
      </w:r>
    </w:p>
    <w:p>
      <w:pPr>
        <w:pStyle w:val="Heading3"/>
        <w:keepNext/>
        <w:spacing w:after="160" w:before="280" w:line="360"/>
      </w:pPr>
      <w:r>
        <w:t xml:space="preserve">4.4.6 Métriques et statistiques</w:t>
      </w:r>
    </w:p>
    <w:p>
      <w:pPr>
        <w:spacing w:after="0" w:line="360"/>
        <w:ind w:firstLine="709"/>
        <w:jc w:val="both"/>
      </w:pPr>
      <w:r>
        <w:t xml:space="preserve">Le choix des méthodes statistiques répond à une contrainte précise : les échantillons de mesures réseau ne sont jamais indépendants au sens strict, car les observations successives sont corrélées dans le temps. Le test de Wilcoxon signé est préféré au test t paramétrique pour les comparaisons appariées, car il ne suppose pas la normalité des résidus et il est robuste aux valeurs extrêmes qui apparaissent dans les mesures de latence.</w:t>
      </w:r>
    </w:p>
    <w:p>
      <w:pPr>
        <w:spacing w:after="0" w:line="360"/>
        <w:ind w:firstLine="709"/>
        <w:jc w:val="both"/>
      </w:pPr>
      <w:r>
        <w:t xml:space="preserve">Le bootstrap à graine fixée (9 999 réplications) est utilisé pour construire les intervalles de confiance des métriques. La graine fixée garantit que deux exécutions sur des machines différentes produisent les mêmes intervalles : sans cette précaution, deux chercheurs qui exécutent le même script d'analyse sur les mêmes données obtiendraient des intervalles légèrement différents, ce qui rendrait la vérification impossible. Le nombre de 9 999 réplications donne une précision suffisante sur les centiles extrêmes sans allonger excessivement le temps de calcul. Les intervalles de Clopper-Pearson sont utilisés pour les proportions (taux de détection, taux de faux positif), car ils sont conservatifs et valides pour toute taille d'échantillon.</w:t>
      </w:r>
    </w:p>
    <w:p>
      <w:pPr>
        <w:spacing w:after="0" w:line="360"/>
        <w:ind w:firstLine="709"/>
        <w:jc w:val="both"/>
      </w:pPr>
      <w:r>
        <w:t xml:space="preserve">La correction de Holm est appliquée pour le contrôle de la famille d'hypothèses lorsqu'une même expérience compare plusieurs configurations entre elles, comme c'est le cas dans E3. Le seuil de signification est fixé à 0,05 pour toutes les inférences. Les résultats sont rapportés avec leur intervalle de confiance à 95 %, et non avec une simple p-value, conformément aux recommandations des conférences PAM et IMC. L'analyse de variance à un facteur est utilisée dans E3 pour détecter si les différences de QDI entre les quatre configurations sont statistiquement significatives, et le coefficient de corrélation de Spearman, qui ne suppose pas de relation linéaire, est préféré au coefficient de Pearson pour mesurer les relations entre métriques.</w:t>
      </w:r>
    </w:p>
    <w:p>
      <w:pPr>
        <w:spacing w:after="0" w:line="360"/>
        <w:ind w:firstLine="709"/>
        <w:jc w:val="both"/>
      </w:pPr>
      <w:r>
        <w:t xml:space="preserve">La qualité d'expérience est mesurée par plusieurs indicateurs complémentaires. Le QDI exprime en millisecondes la dégradation du délai de file par rapport à la référence sans charge. Le TTB exprime en secondes le temps de remplissage de la file. Le P95 de latence des petits objets capture le vécu d'un utilisateur réel. L'indicateur VoIP, dérivé du modèle E [42], convertit le délai et la perte en un score de qualité perçue. Ces indicateurs sont calculés pour chaque configuration et chaque répétition, puis agrégés par les méthodes statistiques décrites ci-dessus. Le script d'analyse est embarqué dans le binaire CGO et s'exécute sur l'archive gelée : tout chercheur qui télécharge le dépôt Zenodo peut reproduire l'intégralité des tests, des figures et des nombres du mémoire, sans installer R, Python ou aucun autre logiciel. Cette propriété n'est pas un luxe : c'est la condition pour qu'un travail de mesure soit falsifiable au sens de Popper.</w:t>
      </w:r>
    </w:p>
    <w:p>
      <w:pPr>
        <w:pStyle w:val="Heading2"/>
        <w:keepNext/>
        <w:spacing w:after="200" w:before="360" w:line="360"/>
      </w:pPr>
      <w:r>
        <w:t xml:space="preserve">4.5 Synthèse</w:t>
      </w:r>
    </w:p>
    <w:p>
      <w:pPr>
        <w:spacing w:after="0" w:line="360"/>
        <w:ind w:firstLine="709"/>
        <w:jc w:val="both"/>
      </w:pPr>
      <w:r>
        <w:t xml:space="preserve">Cette partie a présenté la solution proposée pour répondre à l'écart identifié par l'analyse de l'existant : l'observatoire CGO, un binaire Go statique qui combine un trafic réaliste, une vérité terrain datée par oracle noyau et une vérification indépendante par double canal. Chaque outil qui le compose a été comparé selon les six critères et retenu pour sa capacité à satisfaire le déterminisme, le fonctionnement hors ligne et la vérifiabilité.</w:t>
      </w:r>
    </w:p>
    <w:p>
      <w:pPr>
        <w:spacing w:after="0" w:line="360"/>
        <w:ind w:firstLine="709"/>
        <w:jc w:val="both"/>
      </w:pPr>
      <w:r>
        <w:t xml:space="preserve">Les fondements théoriques mobilisés par l'instrument ont été exposés dans l'ordre où ils interviennent dans le protocole de mesure : d'abord la physique de la congestion et du bufferbloat, puis les mécanismes de contrôle (AQM, contrôle de congestion), ensuite les outils de détection et d'estimation, enfin les métriques et les tests statistiques qui permettent de quantifier les résultats. Cet ordre correspond au flux des expériences : E1 détecte, E2 estime, E3 atténue.</w:t>
      </w:r>
    </w:p>
    <w:p>
      <w:pPr>
        <w:spacing w:after="0" w:line="360"/>
        <w:ind w:firstLine="709"/>
        <w:jc w:val="both"/>
      </w:pPr>
      <w:r>
        <w:t xml:space="preserve">Les outils étant choisis et la théorie posée, la partie suivante décrit la mise en œuvre proprement dite : installation et protocole expérimental, exécution des campagnes E1, E2 et E3, présentation des résultats obtenus, discussion et limites.</w:t>
      </w:r>
    </w:p>
    <w:p>
      <w:pPr>
        <w:pStyle w:val="Heading1"/>
        <w:pageBreakBefore/>
        <w:spacing w:after="360" w:before="0" w:line="360"/>
        <w:jc w:val="center"/>
      </w:pPr>
      <w:r>
        <w:t xml:space="preserve">PARTIE V : MISE EN ŒUVRE, RÉSULTATS ET DISCUSSION</w:t>
      </w:r>
    </w:p>
    <w:p>
      <w:pPr>
        <w:spacing w:after="0" w:line="360"/>
        <w:ind w:firstLine="709"/>
        <w:jc w:val="both"/>
      </w:pPr>
      <w:r>
        <w:t xml:space="preserve">Cette dernière partie rend compte de l'exécution des campagnes expérimentales et de leurs résultats. Elle décrit d'abord la mise en œuvre du protocole : l'environnement d'exécution, le déroulement des campagnes et les portes de qualité qui conditionnent l'admission de chaque mesure. Elle présente ensuite les résultats de la campagne E1 de détection, ceux de la campagne E2 de concordance des sondes, puis ceux de la campagne E3 d'atténuation. Elle confronte enfin les résultats aux hypothèses pré-enregistrées, les discute et en délimite la portée.</w:t>
      </w:r>
    </w:p>
    <w:p>
      <w:pPr>
        <w:pStyle w:val="Heading2"/>
        <w:keepNext/>
        <w:spacing w:after="200" w:before="360" w:line="360"/>
      </w:pPr>
      <w:r>
        <w:t xml:space="preserve">5.1 Mise en œuvre du protocole expérimental</w:t>
      </w:r>
    </w:p>
    <w:p>
      <w:pPr>
        <w:pStyle w:val="Heading3"/>
        <w:keepNext/>
        <w:spacing w:after="160" w:before="280" w:line="360"/>
      </w:pPr>
      <w:r>
        <w:t xml:space="preserve">5.1.1 Environnement d'exécution</w:t>
      </w:r>
    </w:p>
    <w:p>
      <w:pPr>
        <w:spacing w:after="0" w:line="360"/>
        <w:ind w:firstLine="709"/>
        <w:jc w:val="both"/>
      </w:pPr>
      <w:r>
        <w:t xml:space="preserve">Les campagnes ont été exécutées sur une machine virtuelle Ubuntu 24.04 LTS [54] disposant de deux processeurs virtuels et de quatre gigaoctets de mémoire. L'épinglage CPU décrit en annexe a été appliqué systématiquement : le processeur 0 est réservé au flux de données, au sondeur et au rejoueur d'événements ; le processeur 1 accueille ping, iperf3, tcpdump et le pointage. Cette séparation garantit que les processus de mesure ne perturbent pas la génération de trafic. Le banc à trois espaces de noms (émetteur, goulot, récepteur) décrit en Partie III est instancié par le binaire CGO au démarrage de chaque campagne, et les vérifications d'environnement de pkg/testbed valident la topologie avant toute mesure : présence des interfaces veth, épinglage des routes, désactivation des offloads matériels, et disponibilité de l'interface tc.</w:t>
      </w:r>
    </w:p>
    <w:p>
      <w:pPr>
        <w:spacing w:after="0" w:line="360"/>
        <w:ind w:firstLine="709"/>
        <w:jc w:val="both"/>
      </w:pPr>
      <w:r>
        <w:t xml:space="preserve">Chaque campagne débute par une phase de calibration de soixante secondes durant laquelle le lien est mesuré à vide. Cette phase fournit la référence sans charge dont dérivent le QDI et les limites de contrôle des détecteurs à seuil adaptatif. Elle fournit également la covariable processeur : la charge CPU moyenne mesurée pendant la calibration est enregistrée dans le manifeste et permet, lors de l'analyse, d'écarter les exécutions perturbées par le bruit de la machine virtuelle.</w:t>
      </w:r>
    </w:p>
    <w:p>
      <w:pPr>
        <w:pStyle w:val="Heading3"/>
        <w:keepNext/>
        <w:spacing w:after="160" w:before="280" w:line="360"/>
      </w:pPr>
      <w:r>
        <w:t xml:space="preserve">5.1.2 Déroulement des campagnes</w:t>
      </w:r>
    </w:p>
    <w:p>
      <w:pPr>
        <w:spacing w:after="0" w:line="360"/>
        <w:ind w:firstLine="709"/>
        <w:jc w:val="both"/>
      </w:pPr>
      <w:r>
        <w:t xml:space="preserve">La campagne E1 a rejoué 204 événements de congestion datés, répartis sur trois familles de scénario (échelon, rampe, effondrement diurne) et quatre contextes réseau (lien propre, RTT de 50 ms, RTT de 160 ms, profil 4G avec pertes). Chacun des cinq détecteurs (seuil fixe, gradient, EWMA, z-score sur médiane glissante dit BaDDrD, et Kolmogorov-Smirnov) a été confronté à l'intégralité des événements, soit 1 020 cellules de mesure. Pour chaque cellule, l'instrument enregistre le retard brut entre l'instant programmé de l'événement et l'instant de l'alarme, le retard confirmé par l'oracle, ainsi que les indicateurs de faux positif et de détection manquée.</w:t>
      </w:r>
    </w:p>
    <w:p>
      <w:pPr>
        <w:spacing w:after="0" w:line="360"/>
        <w:ind w:firstLine="709"/>
        <w:jc w:val="both"/>
      </w:pPr>
      <w:r>
        <w:t xml:space="preserve">La campagne E3 a exécuté 152 séquences d'atténuation, soit 38 séquences par bras sur les quatre bras pré-enregistrés : A0 (pfifo_fast, la file FIFO par défaut des noyaux anciens), A1 (fq_codel avec ses paramètres par défaut), A2 (fq_codel réglé pour le profil de lien) et A3 (le façonneur adaptatif de CGO, piloté par le bandit ARMS). Les 38 séquences de chaque bras couvrent les quatre profils de lien de la campagne E1, avec les mêmes graines aléatoires d'un bras à l'autre, ce qui rend les comparaisons appariées. Pour chaque séquence, dix métriques sont archivées, dont le QDI, le temps de constitution de la file, la gigue et la perte VoIP, les octets gaspillés en retransmissions et leur conversion en ariary par heure.</w:t>
      </w:r>
    </w:p>
    <w:p>
      <w:pPr>
        <w:spacing w:after="0" w:line="360"/>
        <w:ind w:firstLine="709"/>
        <w:jc w:val="both"/>
      </w:pPr>
      <w:r>
        <w:t xml:space="preserve">La campagne E2, plus courte, a confronté les sondes d'estimation de bande passante (paire de paquets, train de paquets) aux valeurs imposées par le façonneur, selon la méthode de concordance de Bland et Altman [45]. Ses résultats sont résumés après ceux de la campagne E1.</w:t>
      </w:r>
    </w:p>
    <w:p>
      <w:pPr>
        <w:pStyle w:val="Heading3"/>
        <w:keepNext/>
        <w:spacing w:after="160" w:before="280" w:line="360"/>
      </w:pPr>
      <w:r>
        <w:t xml:space="preserve">5.1.3 Portes de qualité et contrôles négatifs</w:t>
      </w:r>
    </w:p>
    <w:p>
      <w:pPr>
        <w:spacing w:after="0" w:line="360"/>
        <w:ind w:firstLine="709"/>
        <w:jc w:val="both"/>
      </w:pPr>
      <w:r>
        <w:t xml:space="preserve">Aucune mesure n'entre dans l'analyse sans avoir franchi les portes de qualité. La réconciliation double canal exige que le débit calculé par le pipeline interne et celui mesuré par iperf3 concordent à 1 % près, et que le RTT de l'oracle et celui du ping horodaté concordent à 2 ms près ; toute séquence hors tolérance est mise en quarantaine avec sa raison et rejouée. Les trois contrôles négatifs ont été exécutés avant chaque campagne : NC-1 (désactivation de l'épinglage de route), NC-2 (suppression de la discipline de file) et NC-3 (réactivation des offloads matériels) ont tous échoué comme attendu, ce qui confirme que l'instrument mesure bien ce qu'il prétend mesurer. Enfin, le re-pointage déterministe (make rescore) a été exécuté sur l'archive gelée à l'issue des campagnes : les 1 020 cellules de la campagne E1 ont été reproduites à l'identique, hachage pour hachage.</w:t>
      </w:r>
    </w:p>
    <w:p>
      <w:pPr>
        <w:pStyle w:val="Heading2"/>
        <w:keepNext/>
        <w:spacing w:after="200" w:before="360" w:line="360"/>
      </w:pPr>
      <w:r>
        <w:t xml:space="preserve">5.2 Résultats de la campagne E1 : classement des détecteurs</w:t>
      </w:r>
    </w:p>
    <w:p>
      <w:pPr>
        <w:pStyle w:val="Heading3"/>
        <w:keepNext/>
        <w:spacing w:after="160" w:before="280" w:line="360"/>
      </w:pPr>
      <w:r>
        <w:t xml:space="preserve">5.2.1 Résultats globaux</w:t>
      </w:r>
    </w:p>
    <w:p>
      <w:pPr>
        <w:spacing w:after="0" w:line="360"/>
        <w:ind w:firstLine="709"/>
        <w:jc w:val="both"/>
      </w:pPr>
      <w:r>
        <w:t xml:space="preserve">Le </w:t>
      </w:r>
      <w:r>
        <w:t xml:space="preserve">Tableau </w:t>
      </w:r>
      <w:fldSimple w:instr="REF RefTab_e1global \h">
        <w:r>
          <w:t xml:space="preserve">0</w:t>
        </w:r>
      </w:fldSimple>
      <w:r>
        <w:t xml:space="preserve"> présente les résultats agrégés des cinq détecteurs sur les 204 événements. Le détecteur de Kolmogorov-Smirnov domine le classement sur le critère principal : son retard médian de détection est de 1 444,5 ms, contre 1 854 ms pour le gradient, 2 028 ms pour le z-score BaDDrD, 2 204 ms pour l'EWMA et 2 329 ms pour le seuil fixe. L'écart entre le meilleur et le pire détecteur atteint ainsi 884,5 ms en médiane, et se creuse encore au 95e percentile : 1 913,4 ms pour Kolmogorov-Smirnov contre 3 371,4 ms pour le seuil fixe.</w:t>
      </w:r>
    </w:p>
    <w:p>
      <w:pPr>
        <w:keepNext/>
        <w:spacing w:after="60" w:before="240" w:line="276"/>
        <w:jc w:val="center"/>
      </w:pPr>
      <w:r>
        <w:rPr>
          <w:i/>
          <w:iCs/>
          <w:sz w:val="22"/>
          <w:szCs w:val="22"/>
        </w:rPr>
        <w:t xml:space="preserve">Tableau </w:t>
      </w:r>
      <w:bookmarkStart w:name="RefTab_e1global" w:id="1"/>
      <w:fldSimple w:instr="SEQ Tableau \* ARABIC">
        <w:r>
          <w:t xml:space="preserve">0</w:t>
        </w:r>
      </w:fldSimple>
      <w:bookmarkEnd w:id="1"/>
      <w:r>
        <w:rPr>
          <w:i/>
          <w:iCs/>
          <w:sz w:val="22"/>
          <w:szCs w:val="22"/>
        </w:rPr>
        <w:t xml:space="preserve"> – Résultats globaux de la campagne E1 sur 204 événements datés (retards en millisecondes).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tblGrid>
      <w:tr>
        <w:trPr>
          <w:cantSplit/>
          <w:tblHeader/>
        </w:trPr>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Détecteur</w:t>
            </w:r>
          </w:p>
        </w:tc>
        <w:tc>
          <w:tcPr>
            <w:tcW w:type="pct" w:w="19%"/>
            <w:shd w:fill="E7E6E6" w:val="clear"/>
            <w:tcMar>
              <w:top w:type="dxa" w:w="60"/>
              <w:left w:type="dxa" w:w="100"/>
              <w:bottom w:type="dxa" w:w="60"/>
              <w:right w:type="dxa" w:w="100"/>
            </w:tcMar>
            <w:vAlign w:val="center"/>
          </w:tcPr>
          <w:p>
            <w:pPr>
              <w:spacing w:after="0" w:line="240"/>
              <w:jc w:val="center"/>
            </w:pPr>
            <w:r>
              <w:rPr>
                <w:b/>
                <w:bCs/>
                <w:sz w:val="22"/>
                <w:szCs w:val="22"/>
              </w:rPr>
              <w:t xml:space="preserve">Retard médian (ms)</w:t>
            </w:r>
          </w:p>
        </w:tc>
        <w:tc>
          <w:tcPr>
            <w:tcW w:type="pct" w:w="19%"/>
            <w:shd w:fill="E7E6E6" w:val="clear"/>
            <w:tcMar>
              <w:top w:type="dxa" w:w="60"/>
              <w:left w:type="dxa" w:w="100"/>
              <w:bottom w:type="dxa" w:w="60"/>
              <w:right w:type="dxa" w:w="100"/>
            </w:tcMar>
            <w:vAlign w:val="center"/>
          </w:tcPr>
          <w:p>
            <w:pPr>
              <w:spacing w:after="0" w:line="240"/>
              <w:jc w:val="center"/>
            </w:pPr>
            <w:r>
              <w:rPr>
                <w:b/>
                <w:bCs/>
                <w:sz w:val="22"/>
                <w:szCs w:val="22"/>
              </w:rPr>
              <w:t xml:space="preserve">Retard P95 (ms)</w:t>
            </w:r>
          </w:p>
        </w:tc>
        <w:tc>
          <w:tcPr>
            <w:tcW w:type="pct" w:w="19%"/>
            <w:shd w:fill="E7E6E6" w:val="clear"/>
            <w:tcMar>
              <w:top w:type="dxa" w:w="60"/>
              <w:left w:type="dxa" w:w="100"/>
              <w:bottom w:type="dxa" w:w="60"/>
              <w:right w:type="dxa" w:w="100"/>
            </w:tcMar>
            <w:vAlign w:val="center"/>
          </w:tcPr>
          <w:p>
            <w:pPr>
              <w:spacing w:after="0" w:line="240"/>
              <w:jc w:val="center"/>
            </w:pPr>
            <w:r>
              <w:rPr>
                <w:b/>
                <w:bCs/>
                <w:sz w:val="22"/>
                <w:szCs w:val="22"/>
              </w:rPr>
              <w:t xml:space="preserve">Faux positifs (%)</w:t>
            </w:r>
          </w:p>
        </w:tc>
        <w:tc>
          <w:tcPr>
            <w:tcW w:type="pct" w:w="19%"/>
            <w:shd w:fill="E7E6E6" w:val="clear"/>
            <w:tcMar>
              <w:top w:type="dxa" w:w="60"/>
              <w:left w:type="dxa" w:w="100"/>
              <w:bottom w:type="dxa" w:w="60"/>
              <w:right w:type="dxa" w:w="100"/>
            </w:tcMar>
            <w:vAlign w:val="center"/>
          </w:tcPr>
          <w:p>
            <w:pPr>
              <w:spacing w:after="0" w:line="240"/>
              <w:jc w:val="center"/>
            </w:pPr>
            <w:r>
              <w:rPr>
                <w:b/>
                <w:bCs/>
                <w:sz w:val="22"/>
                <w:szCs w:val="22"/>
              </w:rPr>
              <w:t xml:space="preserve">Détections manquées (%)</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Kolmogorov-Smirnov</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1 444,5</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1 913,4</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5,39</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0,49</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Gradient</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1 854,0</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2 568,0</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2,45</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0,98</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z-score (BaDDrD)</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2 028,0</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2 691,6</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1,96</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1,47</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EWMA</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2 204,0</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3 068,1</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0,00</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0,49</w:t>
            </w:r>
          </w:p>
        </w:tc>
      </w:tr>
      <w:tr>
        <w:trPr>
          <w:cantSplit/>
        </w:trPr>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Seuil fixe</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2 329,0</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3 371,4</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1,96</w:t>
            </w:r>
          </w:p>
        </w:tc>
        <w:tc>
          <w:tcPr>
            <w:tcW w:type="pct" w:w="19%"/>
            <w:tcMar>
              <w:top w:type="dxa" w:w="60"/>
              <w:left w:type="dxa" w:w="100"/>
              <w:bottom w:type="dxa" w:w="60"/>
              <w:right w:type="dxa" w:w="100"/>
            </w:tcMar>
            <w:vAlign w:val="center"/>
          </w:tcPr>
          <w:p>
            <w:pPr>
              <w:spacing w:after="0" w:line="240"/>
              <w:jc w:val="left"/>
            </w:pPr>
            <w:r>
              <w:rPr>
                <w:b w:val="false"/>
                <w:bCs w:val="false"/>
                <w:sz w:val="22"/>
                <w:szCs w:val="22"/>
              </w:rPr>
              <w:t xml:space="preserve">0,49</w:t>
            </w:r>
          </w:p>
        </w:tc>
      </w:tr>
    </w:tbl>
    <w:p>
      <w:pPr>
        <w:spacing w:after="240" w:line="240"/>
      </w:pPr>
    </w:p>
    <w:p>
      <w:pPr>
        <w:spacing w:after="0" w:line="360"/>
        <w:ind w:firstLine="709"/>
        <w:jc w:val="both"/>
      </w:pPr>
      <w:r>
        <w:t xml:space="preserve">Cette rapidité a un prix, que le tableau rend visible : le détecteur de Kolmogorov-Smirnov affiche le taux de faux positifs le plus élevé (5,39 %, soit 11 fausses alarmes sur la campagne), là où l'EWMA n'en produit aucune et où le seuil fixe et le z-score en produisent 1,96 %. Le compromis entre précocité et prudence, anticipé par le pré-enregistrement, se matérialise donc exactement dans la direction attendue : les détecteurs qui observent la forme de la distribution (Kolmogorov-Smirnov) ou sa pente (gradient) réagissent plus tôt que ceux qui attendent le franchissement d'un niveau (seuil fixe, EWMA), au coût de quelques alarmes injustifiées. Les taux de détection manquée restent inférieurs à 1,5 % pour tous les détecteurs, ce qui confirme que les cinq algorithmes finissent par voir la congestion ; la question discriminante est le délai, pas la capacité de détection.</w:t>
      </w:r>
    </w:p>
    <w:p>
      <w:pPr>
        <w:spacing w:after="0" w:line="360"/>
        <w:ind w:firstLine="709"/>
        <w:jc w:val="both"/>
      </w:pPr>
      <w:r>
        <w:t xml:space="preserve">La </w:t>
      </w:r>
      <w:r>
        <w:t xml:space="preserve">Figure </w:t>
      </w:r>
      <w:fldSimple w:instr="REF RefFig_ecdflag \h">
        <w:r>
          <w:t xml:space="preserve">0</w:t>
        </w:r>
      </w:fldSimple>
      <w:r>
        <w:t xml:space="preserve"> présente les fonctions de répartition empiriques des retards de détection. La courbe du détecteur de Kolmogorov-Smirnov est décalée vers la gauche sur toute son étendue : sa domination n'est pas un artefact de la médiane, elle vaut pour tous les quantiles. Son étendue est aussi la plus resserrée (942 à 2 121 ms, écart-type de 233,4 ms), contre une étendue de 1 073 à 3 995 ms et un écart-type de 652,8 ms pour le seuil fixe : le détecteur le plus rapide est aussi le plus prévisible.</w:t>
      </w:r>
    </w:p>
    <w:p>
      <w:pPr>
        <w:keepNext/>
        <w:spacing w:after="60" w:before="240" w:line="240"/>
        <w:jc w:val="center"/>
      </w:pPr>
      <w:r>
        <w:drawing>
          <wp:inline distT="0" distB="0" distL="0" distR="0">
            <wp:extent cx="57531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53100" cy="3200400"/>
                    </a:xfrm>
                    <a:prstGeom prst="rect">
                      <a:avLst/>
                    </a:prstGeom>
                  </pic:spPr>
                </pic:pic>
              </a:graphicData>
            </a:graphic>
          </wp:inline>
        </w:drawing>
      </w:r>
    </w:p>
    <w:p>
      <w:pPr>
        <w:spacing w:after="240" w:before="0" w:line="276"/>
        <w:jc w:val="center"/>
      </w:pPr>
      <w:r>
        <w:rPr>
          <w:i/>
          <w:iCs/>
          <w:sz w:val="22"/>
          <w:szCs w:val="22"/>
        </w:rPr>
        <w:t xml:space="preserve">Figure </w:t>
      </w:r>
      <w:bookmarkStart w:name="RefFig_ecdflag" w:id="1"/>
      <w:fldSimple w:instr="SEQ Figure \* ARABIC">
        <w:r>
          <w:t xml:space="preserve">0</w:t>
        </w:r>
      </w:fldSimple>
      <w:bookmarkEnd w:id="1"/>
      <w:r>
        <w:rPr>
          <w:i/>
          <w:iCs/>
          <w:sz w:val="22"/>
          <w:szCs w:val="22"/>
        </w:rPr>
        <w:t xml:space="preserve"> – Fonctions de répartition empiriques du retard de détection des cinq détecteurs sur les 204 événements de la campagne E1.</w:t>
      </w:r>
    </w:p>
    <w:p>
      <w:pPr>
        <w:spacing w:after="0" w:line="360"/>
        <w:ind w:firstLine="709"/>
        <w:jc w:val="both"/>
      </w:pPr>
      <w:r>
        <w:t xml:space="preserve">La </w:t>
      </w:r>
      <w:r>
        <w:t xml:space="preserve">Figure </w:t>
      </w:r>
      <w:fldSimple w:instr="REF RefFig_detcomp \h">
        <w:r>
          <w:t xml:space="preserve">0</w:t>
        </w:r>
      </w:fldSimple>
      <w:r>
        <w:t xml:space="preserve"> synthétise le compromis en confrontant, pour chaque détecteur, le retard médian, le retard au 95e percentile et le taux de faux positifs. La lecture conjointe des trois grandeurs délimite deux stratégies de déploiement : le détecteur de Kolmogorov-Smirnov pour les usages où la précocité prime et où une fausse alarme est peu coûteuse (déclenchement d'une atténuation réversible), et l'EWMA pour les usages où chaque alarme déclenche une action coûteuse et où le silence à tort est préférable au bruit.</w:t>
      </w:r>
    </w:p>
    <w:p>
      <w:pPr>
        <w:keepNext/>
        <w:spacing w:after="60" w:before="240" w:line="240"/>
        <w:jc w:val="center"/>
      </w:pPr>
      <w:r>
        <w:drawing>
          <wp:inline distT="0" distB="0" distL="0" distR="0">
            <wp:extent cx="57531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3200400"/>
                    </a:xfrm>
                    <a:prstGeom prst="rect">
                      <a:avLst/>
                    </a:prstGeom>
                  </pic:spPr>
                </pic:pic>
              </a:graphicData>
            </a:graphic>
          </wp:inline>
        </w:drawing>
      </w:r>
    </w:p>
    <w:p>
      <w:pPr>
        <w:spacing w:after="240" w:before="0" w:line="276"/>
        <w:jc w:val="center"/>
      </w:pPr>
      <w:r>
        <w:rPr>
          <w:i/>
          <w:iCs/>
          <w:sz w:val="22"/>
          <w:szCs w:val="22"/>
        </w:rPr>
        <w:t xml:space="preserve">Figure </w:t>
      </w:r>
      <w:bookmarkStart w:name="RefFig_detcomp" w:id="1"/>
      <w:fldSimple w:instr="SEQ Figure \* ARABIC">
        <w:r>
          <w:t xml:space="preserve">0</w:t>
        </w:r>
      </w:fldSimple>
      <w:bookmarkEnd w:id="1"/>
      <w:r>
        <w:rPr>
          <w:i/>
          <w:iCs/>
          <w:sz w:val="22"/>
          <w:szCs w:val="22"/>
        </w:rPr>
        <w:t xml:space="preserve"> – Comparaison des cinq détecteurs : retard médian, retard au 95e percentile et taux de faux positifs.</w:t>
      </w:r>
    </w:p>
    <w:p>
      <w:pPr>
        <w:pStyle w:val="Heading3"/>
        <w:keepNext/>
        <w:spacing w:after="160" w:before="280" w:line="360"/>
      </w:pPr>
      <w:r>
        <w:t xml:space="preserve">5.2.2 Analyse par famille de scénario</w:t>
      </w:r>
    </w:p>
    <w:p>
      <w:pPr>
        <w:spacing w:after="0" w:line="360"/>
        <w:ind w:firstLine="709"/>
        <w:jc w:val="both"/>
      </w:pPr>
      <w:r>
        <w:t xml:space="preserve">Le comportement des détecteurs varie fortement selon la forme de l'événement rejoué, comme le montre le </w:t>
      </w:r>
      <w:r>
        <w:t xml:space="preserve">Tableau </w:t>
      </w:r>
      <w:fldSimple w:instr="REF RefTab_e1family \h">
        <w:r>
          <w:t xml:space="preserve">0</w:t>
        </w:r>
      </w:fldSimple>
      <w:r>
        <w:t xml:space="preserve">. Le seuil fixe illustre le phénomène de la manière la plus nette : excellent sur les échelons (médiane de 1 517 ms, meilleure valeur de sa colonne après Kolmogorov-Smirnov), il s'effondre sur les rampes (2 515 ms) et sur les effondrements diurnes (2 681 ms). L'explication est mécanique : un échelon franchit le seuil immédiatement, tandis qu'une rampe le franchit tard, une fois la dégradation déjà installée.</w:t>
      </w:r>
    </w:p>
    <w:p>
      <w:pPr>
        <w:keepNext/>
        <w:spacing w:after="60" w:before="240" w:line="276"/>
        <w:jc w:val="center"/>
      </w:pPr>
      <w:r>
        <w:rPr>
          <w:i/>
          <w:iCs/>
          <w:sz w:val="22"/>
          <w:szCs w:val="22"/>
        </w:rPr>
        <w:t xml:space="preserve">Tableau </w:t>
      </w:r>
      <w:bookmarkStart w:name="RefTab_e1family" w:id="1"/>
      <w:fldSimple w:instr="SEQ Tableau \* ARABIC">
        <w:r>
          <w:t xml:space="preserve">0</w:t>
        </w:r>
      </w:fldSimple>
      <w:bookmarkEnd w:id="1"/>
      <w:r>
        <w:rPr>
          <w:i/>
          <w:iCs/>
          <w:sz w:val="22"/>
          <w:szCs w:val="22"/>
        </w:rPr>
        <w:t xml:space="preserve"> – Retard médian de détection par famille de scénario (millisecondes).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Détecteur</w:t>
            </w:r>
          </w:p>
        </w:tc>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Échelon</w:t>
            </w:r>
          </w:p>
        </w:tc>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Rampe</w:t>
            </w:r>
          </w:p>
        </w:tc>
        <w:tc>
          <w:tcPr>
            <w:tcW w:type="pct" w:w="24%"/>
            <w:shd w:fill="E7E6E6" w:val="clear"/>
            <w:tcMar>
              <w:top w:type="dxa" w:w="60"/>
              <w:left w:type="dxa" w:w="100"/>
              <w:bottom w:type="dxa" w:w="60"/>
              <w:right w:type="dxa" w:w="100"/>
            </w:tcMar>
            <w:vAlign w:val="center"/>
          </w:tcPr>
          <w:p>
            <w:pPr>
              <w:spacing w:after="0" w:line="240"/>
              <w:jc w:val="center"/>
            </w:pPr>
            <w:r>
              <w:rPr>
                <w:b/>
                <w:bCs/>
                <w:sz w:val="22"/>
                <w:szCs w:val="22"/>
              </w:rPr>
              <w:t xml:space="preserve">Effondrement diurne</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Kolmogorov-Smirnov</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1 572,0</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1 359,5</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1 444,0</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Gradient</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1 653,5</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1 948,0</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2 092,0</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z-score (BaDDrD)</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1 803,5</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2 157,0</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2 286,0</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EWMA</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1 895,5</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2 207,0</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2 481,5</w:t>
            </w:r>
          </w:p>
        </w:tc>
      </w:tr>
      <w:tr>
        <w:trPr>
          <w:cantSplit/>
        </w:trPr>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Seuil fixe</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1 517,0</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2 515,0</w:t>
            </w:r>
          </w:p>
        </w:tc>
        <w:tc>
          <w:tcPr>
            <w:tcW w:type="pct" w:w="24%"/>
            <w:tcMar>
              <w:top w:type="dxa" w:w="60"/>
              <w:left w:type="dxa" w:w="100"/>
              <w:bottom w:type="dxa" w:w="60"/>
              <w:right w:type="dxa" w:w="100"/>
            </w:tcMar>
            <w:vAlign w:val="center"/>
          </w:tcPr>
          <w:p>
            <w:pPr>
              <w:spacing w:after="0" w:line="240"/>
              <w:jc w:val="left"/>
            </w:pPr>
            <w:r>
              <w:rPr>
                <w:b w:val="false"/>
                <w:bCs w:val="false"/>
                <w:sz w:val="22"/>
                <w:szCs w:val="22"/>
              </w:rPr>
              <w:t xml:space="preserve">2 681,0</w:t>
            </w:r>
          </w:p>
        </w:tc>
      </w:tr>
    </w:tbl>
    <w:p>
      <w:pPr>
        <w:spacing w:after="240" w:line="240"/>
      </w:pPr>
    </w:p>
    <w:p>
      <w:pPr>
        <w:spacing w:after="0" w:line="360"/>
        <w:ind w:firstLine="709"/>
        <w:jc w:val="both"/>
      </w:pPr>
      <w:r>
        <w:t xml:space="preserve">Le détecteur de Kolmogorov-Smirnov présente le profil inverse et le plus précieux : sa médiane reste comprise entre 1 359,5 et 1 572 ms sur les trois familles, soit une variation de 212,5 ms là où le seuil fixe varie de 1 164 ms. Cette stabilité s'explique par la nature du test : comparer deux fonctions de répartition empiriques rend le détecteur sensible au changement de forme de la distribution du RTT avant même que sa moyenne ne se déplace, ce qui vaut autant pour une rampe lente que pour un échelon brutal. La </w:t>
      </w:r>
      <w:r>
        <w:t xml:space="preserve">Figure </w:t>
      </w:r>
      <w:fldSimple w:instr="REF RefFig_famcomp \h">
        <w:r>
          <w:t xml:space="preserve">0</w:t>
        </w:r>
      </w:fldSimple>
      <w:r>
        <w:t xml:space="preserve"> visualise cette dissymétrie : les barres du détecteur de Kolmogorov-Smirnov sont presque égales d'une famille à l'autre, quand celles du seuil fixe s'allongent avec la lenteur de l'événement.</w:t>
      </w:r>
    </w:p>
    <w:p>
      <w:pPr>
        <w:keepNext/>
        <w:spacing w:after="60" w:before="240" w:line="240"/>
        <w:jc w:val="center"/>
      </w:pPr>
      <w:r>
        <w:drawing>
          <wp:inline distT="0" distB="0" distL="0" distR="0">
            <wp:extent cx="57531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3067050"/>
                    </a:xfrm>
                    <a:prstGeom prst="rect">
                      <a:avLst/>
                    </a:prstGeom>
                  </pic:spPr>
                </pic:pic>
              </a:graphicData>
            </a:graphic>
          </wp:inline>
        </w:drawing>
      </w:r>
    </w:p>
    <w:p>
      <w:pPr>
        <w:spacing w:after="240" w:before="0" w:line="276"/>
        <w:jc w:val="center"/>
      </w:pPr>
      <w:r>
        <w:rPr>
          <w:i/>
          <w:iCs/>
          <w:sz w:val="22"/>
          <w:szCs w:val="22"/>
        </w:rPr>
        <w:t xml:space="preserve">Figure </w:t>
      </w:r>
      <w:bookmarkStart w:name="RefFig_famcomp" w:id="1"/>
      <w:fldSimple w:instr="SEQ Figure \* ARABIC">
        <w:r>
          <w:t xml:space="preserve">0</w:t>
        </w:r>
      </w:fldSimple>
      <w:bookmarkEnd w:id="1"/>
      <w:r>
        <w:rPr>
          <w:i/>
          <w:iCs/>
          <w:sz w:val="22"/>
          <w:szCs w:val="22"/>
        </w:rPr>
        <w:t xml:space="preserve"> – Retard médian de détection par famille de scénario et par détecteur : la stabilité inter-familles du détecteur de Kolmogorov-Smirnov contraste avec la dégradation du seuil fixe sur les événements lents.</w:t>
      </w:r>
    </w:p>
    <w:p>
      <w:pPr>
        <w:spacing w:after="0" w:line="360"/>
        <w:ind w:firstLine="709"/>
        <w:jc w:val="both"/>
      </w:pPr>
      <w:r>
        <w:t xml:space="preserve">L'analyse par contexte réseau complète le tableau. La médiane du détecteur de Kolmogorov-Smirnov passe de 1 299 ms sur lien propre à 1 604 ms dans le contexte de RTT à 160 ms, soit une dégradation de 23 % ; celle du seuil fixe passe de 2 125 à 2 577 ms dans les mêmes conditions. Le profil 4G avec pertes, le plus proche du terrain malgache, ne dégrade que modérément les cinq détecteurs (1 468 ms pour Kolmogorov-Smirnov), ce qui indique que la gigue et les pertes sporadiques calibrées sur le lien réel d'Antananarivo ne suffisent pas à brouiller la signature statistique d'un début de congestion.</w:t>
      </w:r>
    </w:p>
    <w:p>
      <w:pPr>
        <w:pStyle w:val="Heading3"/>
        <w:keepNext/>
        <w:spacing w:after="160" w:before="280" w:line="360"/>
      </w:pPr>
      <w:r>
        <w:t xml:space="preserve">5.2.3 Verdict sur l'hypothèse H1</w:t>
      </w:r>
    </w:p>
    <w:p>
      <w:pPr>
        <w:spacing w:after="0" w:line="360"/>
        <w:ind w:firstLine="709"/>
        <w:jc w:val="both"/>
      </w:pPr>
      <w:r>
        <w:t xml:space="preserve">L'hypothèse pré-enregistrée H1 énonçait que le détecteur de Kolmogorov-Smirnov détecterait le début de congestion avec un retard médian inférieur à celui du seuil fixe d'au moins 500 ms, la marge de non-infériorité étant fixée avant campagne. Le résultat observé (écart de 884,5 ms en médiane, en faveur de Kolmogorov-Smirnov, avec un test de Wilcoxon apparié significatif après correction de Holm) confirme H1 au-delà de la marge pré-enregistrée. La contingence annoncée s'est également matérialisée : cette précocité se paie d'un taux de faux positifs de 5,39 %, supérieur au plafond de 5 % envisagé comme zone de confort, ce qui est consigné comme réserve. Le classement final, du plus précoce au plus tardif, est donc : Kolmogorov-Smirnov, gradient, z-score, EWMA, seuil fixe.</w:t>
      </w:r>
    </w:p>
    <w:p>
      <w:pPr>
        <w:pStyle w:val="Heading2"/>
        <w:keepNext/>
        <w:spacing w:after="200" w:before="360" w:line="360"/>
      </w:pPr>
      <w:r>
        <w:t xml:space="preserve">5.3 Résultats de la campagne E2 : concordance des sondes</w:t>
      </w:r>
    </w:p>
    <w:p>
      <w:pPr>
        <w:spacing w:after="0" w:line="360"/>
        <w:ind w:firstLine="709"/>
        <w:jc w:val="both"/>
      </w:pPr>
      <w:r>
        <w:t xml:space="preserve">La campagne E2 a confronté les deux sondes d'estimation de bande passante à la vérité terrain du façonneur, sur les mêmes profils de lien que la campagne E1. La méthode de Bland et Altman [45] a été appliquée : pour chaque mesure, l'écart entre l'estimation de la sonde et la capacité imposée est porté en fonction de leur moyenne, et les limites d'agrément à 95 % sont calculées sur l'ensemble des paires.</w:t>
      </w:r>
    </w:p>
    <w:p>
      <w:pPr>
        <w:spacing w:after="0" w:line="360"/>
        <w:ind w:firstLine="709"/>
        <w:jc w:val="both"/>
      </w:pPr>
      <w:r>
        <w:t xml:space="preserve">La sonde par train de paquets présente le biais le plus faible et des limites d'agrément compatibles avec l'usage visé : le déclenchement d'un façonnage adaptatif, qui tolère une erreur d'estimation de l'ordre de 10 % dès lors qu'elle est sans biais systématique. La sonde par paire de paquets, plus légère, montre une dispersion plus large dans le contexte 4G avec pertes, où la gigue d'accès contamine l'espacement inter-paquets ; elle reste utilisable comme estimateur d'appoint sur les liens stables. La réconciliation avec le canal indépendant confirme ces ordres de grandeur : les estimations retenues par le pipeline concordent avec les débits iperf3 dans la tolérance de 1 % fixée par la porte de qualité. L'hypothèse H2, qui demandait des limites d'agrément inférieures à 15 % de la capacité nominale pour au moins une sonde, est confirmée pour le train de paquets.</w:t>
      </w:r>
    </w:p>
    <w:p>
      <w:pPr>
        <w:pStyle w:val="Heading2"/>
        <w:keepNext/>
        <w:spacing w:after="200" w:before="360" w:line="360"/>
      </w:pPr>
      <w:r>
        <w:t xml:space="preserve">5.4 Résultats de la campagne E3 : atténuation adaptative</w:t>
      </w:r>
    </w:p>
    <w:p>
      <w:pPr>
        <w:pStyle w:val="Heading3"/>
        <w:keepNext/>
        <w:spacing w:after="160" w:before="280" w:line="360"/>
      </w:pPr>
      <w:r>
        <w:t xml:space="preserve">5.4.1 Résultat principal : la dégradation de délai de file</w:t>
      </w:r>
    </w:p>
    <w:p>
      <w:pPr>
        <w:spacing w:after="0" w:line="360"/>
        <w:ind w:firstLine="709"/>
        <w:jc w:val="both"/>
      </w:pPr>
      <w:r>
        <w:t xml:space="preserve">Le </w:t>
      </w:r>
      <w:r>
        <w:t xml:space="preserve">Tableau </w:t>
      </w:r>
      <w:fldSimple w:instr="REF RefTab_e3qdi \h">
        <w:r>
          <w:t xml:space="preserve">0</w:t>
        </w:r>
      </w:fldSimple>
      <w:r>
        <w:t xml:space="preserve"> présente la métrique principale de la campagne, le QDI (Queue Delay Impairment), pour les quatre bras. La hiérarchie est sans ambiguïté. Le bras A0 (pfifo_fast), représentatif d'un équipement non configuré, subit une dégradation médiane de 87,25 ms, avec un 95e percentile à 141,54 ms : c'est le bufferbloat à l'état pur. Le simple passage à fq_codel par défaut (A1) divise la médiane par plus de trois (26,05 ms). Le réglage des paramètres au profil du lien (A2) l'abaisse encore à 15,95 ms. Le façonneur adaptatif (A3) obtient la meilleure médiane, 13,45 ms, soit une réduction de 84,6 % par rapport au bras A0.</w:t>
      </w:r>
    </w:p>
    <w:p>
      <w:pPr>
        <w:keepNext/>
        <w:spacing w:after="60" w:before="240" w:line="276"/>
        <w:jc w:val="center"/>
      </w:pPr>
      <w:r>
        <w:rPr>
          <w:i/>
          <w:iCs/>
          <w:sz w:val="22"/>
          <w:szCs w:val="22"/>
        </w:rPr>
        <w:t xml:space="preserve">Tableau </w:t>
      </w:r>
      <w:bookmarkStart w:name="RefTab_e3qdi" w:id="1"/>
      <w:fldSimple w:instr="SEQ Tableau \* ARABIC">
        <w:r>
          <w:t xml:space="preserve">0</w:t>
        </w:r>
      </w:fldSimple>
      <w:bookmarkEnd w:id="1"/>
      <w:r>
        <w:rPr>
          <w:i/>
          <w:iCs/>
          <w:sz w:val="22"/>
          <w:szCs w:val="22"/>
        </w:rPr>
        <w:t xml:space="preserve"> – Dégradation de délai de file (QDI) par bras d'atténuation, sur 38 séquences par bras (millisecondes).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tblGrid>
      <w:tr>
        <w:trPr>
          <w:cantSplit/>
          <w:tblHeader/>
        </w:trPr>
        <w:tc>
          <w:tcPr>
            <w:tcW w:type="pct" w:w="10%"/>
            <w:shd w:fill="E7E6E6" w:val="clear"/>
            <w:tcMar>
              <w:top w:type="dxa" w:w="60"/>
              <w:left w:type="dxa" w:w="100"/>
              <w:bottom w:type="dxa" w:w="60"/>
              <w:right w:type="dxa" w:w="100"/>
            </w:tcMar>
            <w:vAlign w:val="center"/>
          </w:tcPr>
          <w:p>
            <w:pPr>
              <w:spacing w:after="0" w:line="240"/>
              <w:jc w:val="center"/>
            </w:pPr>
            <w:r>
              <w:rPr>
                <w:b/>
                <w:bCs/>
                <w:sz w:val="22"/>
                <w:szCs w:val="22"/>
              </w:rPr>
              <w:t xml:space="preserve">Bras</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Configuration</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QDI médian (ms)</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QDI P95 (ms)</w:t>
            </w:r>
          </w:p>
        </w:tc>
        <w:tc>
          <w:tcPr>
            <w:tcW w:type="pct" w:w="20%"/>
            <w:shd w:fill="E7E6E6" w:val="clear"/>
            <w:tcMar>
              <w:top w:type="dxa" w:w="60"/>
              <w:left w:type="dxa" w:w="100"/>
              <w:bottom w:type="dxa" w:w="60"/>
              <w:right w:type="dxa" w:w="100"/>
            </w:tcMar>
            <w:vAlign w:val="center"/>
          </w:tcPr>
          <w:p>
            <w:pPr>
              <w:spacing w:after="0" w:line="240"/>
              <w:jc w:val="center"/>
            </w:pPr>
            <w:r>
              <w:rPr>
                <w:b/>
                <w:bCs/>
                <w:sz w:val="22"/>
                <w:szCs w:val="22"/>
              </w:rPr>
              <w:t xml:space="preserve">Écart-type (ms)</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A0</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pfifo_fast (défaut ancien)</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87,25</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141,54</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31,12</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A1</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fq_codel par défaut</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26,05</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51,40</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18,51</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A2</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fq_codel réglé</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15,95</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36,76</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12,68</w:t>
            </w:r>
          </w:p>
        </w:tc>
      </w:tr>
      <w:tr>
        <w:trPr>
          <w:cantSplit/>
        </w:trPr>
        <w:tc>
          <w:tcPr>
            <w:tcW w:type="pct" w:w="10%"/>
            <w:tcMar>
              <w:top w:type="dxa" w:w="60"/>
              <w:left w:type="dxa" w:w="100"/>
              <w:bottom w:type="dxa" w:w="60"/>
              <w:right w:type="dxa" w:w="100"/>
            </w:tcMar>
            <w:vAlign w:val="center"/>
          </w:tcPr>
          <w:p>
            <w:pPr>
              <w:spacing w:after="0" w:line="240"/>
              <w:jc w:val="left"/>
            </w:pPr>
            <w:r>
              <w:rPr>
                <w:b w:val="false"/>
                <w:bCs w:val="false"/>
                <w:sz w:val="22"/>
                <w:szCs w:val="22"/>
              </w:rPr>
              <w:t xml:space="preserve">A3</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façonneur adaptatif CGO</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13,45</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35,13</w:t>
            </w:r>
          </w:p>
        </w:tc>
        <w:tc>
          <w:tcPr>
            <w:tcW w:type="pct" w:w="20%"/>
            <w:tcMar>
              <w:top w:type="dxa" w:w="60"/>
              <w:left w:type="dxa" w:w="100"/>
              <w:bottom w:type="dxa" w:w="60"/>
              <w:right w:type="dxa" w:w="100"/>
            </w:tcMar>
            <w:vAlign w:val="center"/>
          </w:tcPr>
          <w:p>
            <w:pPr>
              <w:spacing w:after="0" w:line="240"/>
              <w:jc w:val="left"/>
            </w:pPr>
            <w:r>
              <w:rPr>
                <w:b w:val="false"/>
                <w:bCs w:val="false"/>
                <w:sz w:val="22"/>
                <w:szCs w:val="22"/>
              </w:rPr>
              <w:t xml:space="preserve">12,89</w:t>
            </w:r>
          </w:p>
        </w:tc>
      </w:tr>
    </w:tbl>
    <w:p>
      <w:pPr>
        <w:spacing w:after="240" w:line="240"/>
      </w:pPr>
    </w:p>
    <w:p>
      <w:pPr>
        <w:spacing w:after="0" w:line="360"/>
        <w:ind w:firstLine="709"/>
        <w:jc w:val="both"/>
      </w:pPr>
      <w:r>
        <w:t xml:space="preserve">La </w:t>
      </w:r>
      <w:r>
        <w:t xml:space="preserve">Figure </w:t>
      </w:r>
      <w:fldSimple w:instr="REF RefFig_qdi \h">
        <w:r>
          <w:t xml:space="preserve">0</w:t>
        </w:r>
      </w:fldSimple>
      <w:r>
        <w:t xml:space="preserve"> visualise la distribution complète du QDI par bras. Deux enseignements s'en dégagent. Premièrement, le gain marginal décroît le long de la chaîne A0, A1, A2, A3 : l'essentiel du bénéfice provient de l'abandon de la file FIFO, et chaque raffinement supplémentaire apporte moins que le précédent. Deuxièmement, les distributions de A2 et de A3 se recouvrent largement (écarts-types de 12,68 et 12,89 ms) : l'avantage médian du façonneur adaptatif sur le fq_codel réglé est réel mais modeste en agrégat, et c'est l'analyse par profil de lien qui en révélera la structure.</w:t>
      </w:r>
    </w:p>
    <w:p>
      <w:pPr>
        <w:keepNext/>
        <w:spacing w:after="60" w:before="240" w:line="240"/>
        <w:jc w:val="center"/>
      </w:pPr>
      <w:r>
        <w:drawing>
          <wp:inline distT="0" distB="0" distL="0" distR="0">
            <wp:extent cx="57531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53100" cy="3200400"/>
                    </a:xfrm>
                    <a:prstGeom prst="rect">
                      <a:avLst/>
                    </a:prstGeom>
                  </pic:spPr>
                </pic:pic>
              </a:graphicData>
            </a:graphic>
          </wp:inline>
        </w:drawing>
      </w:r>
    </w:p>
    <w:p>
      <w:pPr>
        <w:spacing w:after="240" w:before="0" w:line="276"/>
        <w:jc w:val="center"/>
      </w:pPr>
      <w:r>
        <w:rPr>
          <w:i/>
          <w:iCs/>
          <w:sz w:val="22"/>
          <w:szCs w:val="22"/>
        </w:rPr>
        <w:t xml:space="preserve">Figure </w:t>
      </w:r>
      <w:bookmarkStart w:name="RefFig_qdi" w:id="1"/>
      <w:fldSimple w:instr="SEQ Figure \* ARABIC">
        <w:r>
          <w:t xml:space="preserve">0</w:t>
        </w:r>
      </w:fldSimple>
      <w:bookmarkEnd w:id="1"/>
      <w:r>
        <w:rPr>
          <w:i/>
          <w:iCs/>
          <w:sz w:val="22"/>
          <w:szCs w:val="22"/>
        </w:rPr>
        <w:t xml:space="preserve"> – Distribution de la dégradation de délai de file (QDI) pour les quatre bras d'atténuation de la campagne E3.</w:t>
      </w:r>
    </w:p>
    <w:p>
      <w:pPr>
        <w:pStyle w:val="Heading3"/>
        <w:keepNext/>
        <w:spacing w:after="160" w:before="280" w:line="360"/>
      </w:pPr>
      <w:r>
        <w:t xml:space="preserve">5.4.2 Métriques secondaires</w:t>
      </w:r>
    </w:p>
    <w:p>
      <w:pPr>
        <w:spacing w:after="0" w:line="360"/>
        <w:ind w:firstLine="709"/>
        <w:jc w:val="both"/>
      </w:pPr>
      <w:r>
        <w:t xml:space="preserve">Le </w:t>
      </w:r>
      <w:r>
        <w:t xml:space="preserve">Tableau </w:t>
      </w:r>
      <w:fldSimple w:instr="REF RefTab_e3metrics \h">
        <w:r>
          <w:t xml:space="preserve">0</w:t>
        </w:r>
      </w:fldSimple>
      <w:r>
        <w:t xml:space="preserve"> rassemble les métriques secondaires. Elles convergent toutes dans le même sens que le QDI, avec des amplitudes remarquables. Le temps de constitution de la file passe d'une médiane de 1 793 ms (A0) à 201 ms (A3) : le façonneur adaptatif contient la file avant qu'elle ne s'installe, quand la FIFO la laisse croître pendant près de deux secondes. La gigue VoIP chute de 26,7 ms (A0) à 3,35 ms (A2) et 4,9 ms (A3) : les deux meilleurs bras ramènent la voix sur IP dans la zone de qualité correcte du modèle E de l'UIT-T [42], quand la FIFO l'en exclut. Le temps de récupération après l'événement passe de 18 s (A0) à 3,5 s (A3). L'utilisation du débit progresse de 0,79 (A0) à 0,94 (A3) : contrairement à l'intuition, réguler la file ne coûte pas de débit, elle en libère, car les retransmissions évitées ne consomment plus la capacité.</w:t>
      </w:r>
    </w:p>
    <w:p>
      <w:pPr>
        <w:keepNext/>
        <w:spacing w:after="60" w:before="240" w:line="276"/>
        <w:jc w:val="center"/>
      </w:pPr>
      <w:r>
        <w:rPr>
          <w:i/>
          <w:iCs/>
          <w:sz w:val="22"/>
          <w:szCs w:val="22"/>
        </w:rPr>
        <w:t xml:space="preserve">Tableau </w:t>
      </w:r>
      <w:bookmarkStart w:name="RefTab_e3metrics" w:id="1"/>
      <w:fldSimple w:instr="SEQ Tableau \* ARABIC">
        <w:r>
          <w:t xml:space="preserve">0</w:t>
        </w:r>
      </w:fldSimple>
      <w:bookmarkEnd w:id="1"/>
      <w:r>
        <w:rPr>
          <w:i/>
          <w:iCs/>
          <w:sz w:val="22"/>
          <w:szCs w:val="22"/>
        </w:rPr>
        <w:t xml:space="preserve"> – Métriques secondaires de la campagne E3, en valeurs médianes par bras.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tblGrid>
      <w:tr>
        <w:trPr>
          <w:cantSplit/>
          <w:tblHeader/>
        </w:trPr>
        <w:tc>
          <w:tcPr>
            <w:tcW w:type="pct" w:w="40%"/>
            <w:shd w:fill="E7E6E6" w:val="clear"/>
            <w:tcMar>
              <w:top w:type="dxa" w:w="60"/>
              <w:left w:type="dxa" w:w="100"/>
              <w:bottom w:type="dxa" w:w="60"/>
              <w:right w:type="dxa" w:w="100"/>
            </w:tcMar>
            <w:vAlign w:val="center"/>
          </w:tcPr>
          <w:p>
            <w:pPr>
              <w:spacing w:after="0" w:line="240"/>
              <w:jc w:val="center"/>
            </w:pPr>
            <w:r>
              <w:rPr>
                <w:b/>
                <w:bCs/>
                <w:sz w:val="22"/>
                <w:szCs w:val="22"/>
              </w:rPr>
              <w:t xml:space="preserve">Métrique</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A0</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A1</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A2</w:t>
            </w:r>
          </w:p>
        </w:tc>
        <w:tc>
          <w:tcPr>
            <w:tcW w:type="pct" w:w="15%"/>
            <w:shd w:fill="E7E6E6" w:val="clear"/>
            <w:tcMar>
              <w:top w:type="dxa" w:w="60"/>
              <w:left w:type="dxa" w:w="100"/>
              <w:bottom w:type="dxa" w:w="60"/>
              <w:right w:type="dxa" w:w="100"/>
            </w:tcMar>
            <w:vAlign w:val="center"/>
          </w:tcPr>
          <w:p>
            <w:pPr>
              <w:spacing w:after="0" w:line="240"/>
              <w:jc w:val="center"/>
            </w:pPr>
            <w:r>
              <w:rPr>
                <w:b/>
                <w:bCs/>
                <w:sz w:val="22"/>
                <w:szCs w:val="22"/>
              </w:rPr>
              <w:t xml:space="preserve">A3</w:t>
            </w:r>
          </w:p>
        </w:tc>
      </w:tr>
      <w:tr>
        <w:trPr>
          <w:cantSplit/>
        </w:trPr>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Temps de constitution de la file (ms)</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1 793,0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451,5</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400,0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201,0</w:t>
            </w:r>
          </w:p>
        </w:tc>
      </w:tr>
      <w:tr>
        <w:trPr>
          <w:cantSplit/>
        </w:trPr>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Gigue VoIP (ms)</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26,70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8,70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3,35</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4,90</w:t>
            </w:r>
          </w:p>
        </w:tc>
      </w:tr>
      <w:tr>
        <w:trPr>
          <w:cantSplit/>
        </w:trPr>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Perte VoIP (%)</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1,63</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0,53</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0,32</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0,37</w:t>
            </w:r>
          </w:p>
        </w:tc>
      </w:tr>
      <w:tr>
        <w:trPr>
          <w:cantSplit/>
        </w:trPr>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Latence P95 des petits objets (ms)</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166,55</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45,65</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37,85</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33,10</w:t>
            </w:r>
          </w:p>
        </w:tc>
      </w:tr>
      <w:tr>
        <w:trPr>
          <w:cantSplit/>
        </w:trPr>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Indice d’équité LFI</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0,81</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0,90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0,91</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0,95</w:t>
            </w:r>
          </w:p>
        </w:tc>
      </w:tr>
      <w:tr>
        <w:trPr>
          <w:cantSplit/>
        </w:trPr>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Temps de récupération (s)</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18,00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6,65</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5,45</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3,50</w:t>
            </w:r>
          </w:p>
        </w:tc>
      </w:tr>
      <w:tr>
        <w:trPr>
          <w:cantSplit/>
        </w:trPr>
        <w:tc>
          <w:tcPr>
            <w:tcW w:type="pct" w:w="40%"/>
            <w:tcMar>
              <w:top w:type="dxa" w:w="60"/>
              <w:left w:type="dxa" w:w="100"/>
              <w:bottom w:type="dxa" w:w="60"/>
              <w:right w:type="dxa" w:w="100"/>
            </w:tcMar>
            <w:vAlign w:val="center"/>
          </w:tcPr>
          <w:p>
            <w:pPr>
              <w:spacing w:after="0" w:line="240"/>
              <w:jc w:val="left"/>
            </w:pPr>
            <w:r>
              <w:rPr>
                <w:b w:val="false"/>
                <w:bCs w:val="false"/>
                <w:sz w:val="22"/>
                <w:szCs w:val="22"/>
              </w:rPr>
              <w:t xml:space="preserve">Utilisation du débit</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0,79</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0,90</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0,93</w:t>
            </w:r>
          </w:p>
        </w:tc>
        <w:tc>
          <w:tcPr>
            <w:tcW w:type="pct" w:w="15%"/>
            <w:tcMar>
              <w:top w:type="dxa" w:w="60"/>
              <w:left w:type="dxa" w:w="100"/>
              <w:bottom w:type="dxa" w:w="60"/>
              <w:right w:type="dxa" w:w="100"/>
            </w:tcMar>
            <w:vAlign w:val="center"/>
          </w:tcPr>
          <w:p>
            <w:pPr>
              <w:spacing w:after="0" w:line="240"/>
              <w:jc w:val="left"/>
            </w:pPr>
            <w:r>
              <w:rPr>
                <w:b w:val="false"/>
                <w:bCs w:val="false"/>
                <w:sz w:val="22"/>
                <w:szCs w:val="22"/>
              </w:rPr>
              <w:t xml:space="preserve">0,94</w:t>
            </w:r>
          </w:p>
        </w:tc>
      </w:tr>
    </w:tbl>
    <w:p>
      <w:pPr>
        <w:spacing w:after="240" w:line="240"/>
      </w:pPr>
    </w:p>
    <w:p>
      <w:pPr>
        <w:spacing w:after="0" w:line="360"/>
        <w:ind w:firstLine="709"/>
        <w:jc w:val="both"/>
      </w:pPr>
      <w:r>
        <w:t xml:space="preserve">La </w:t>
      </w:r>
      <w:r>
        <w:t xml:space="preserve">Figure </w:t>
      </w:r>
      <w:fldSimple w:instr="REF RefFig_mete3 \h">
        <w:r>
          <w:t xml:space="preserve">0</w:t>
        </w:r>
      </w:fldSimple>
      <w:r>
        <w:t xml:space="preserve"> met en regard quatre de ces métriques. La lecture croisée fait apparaître une spécialisation : le bras A2 domine sur la gigue VoIP, le bras A3 domine sur le temps de constitution de la file, la latence des petits objets, l'équité et la récupération. Le façonneur adaptatif optimise en priorité la réactivité (contenir la file tôt, récupérer vite), quand le fq_codel réglé, statique mais parfaitement ajusté à son profil, lisse mieux la gigue en régime établi.</w:t>
      </w:r>
    </w:p>
    <w:p>
      <w:pPr>
        <w:keepNext/>
        <w:spacing w:after="60" w:before="240" w:line="240"/>
        <w:jc w:val="center"/>
      </w:pPr>
      <w:r>
        <w:drawing>
          <wp:inline distT="0" distB="0" distL="0" distR="0">
            <wp:extent cx="57531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53100" cy="3181350"/>
                    </a:xfrm>
                    <a:prstGeom prst="rect">
                      <a:avLst/>
                    </a:prstGeom>
                  </pic:spPr>
                </pic:pic>
              </a:graphicData>
            </a:graphic>
          </wp:inline>
        </w:drawing>
      </w:r>
    </w:p>
    <w:p>
      <w:pPr>
        <w:spacing w:after="240" w:before="0" w:line="276"/>
        <w:jc w:val="center"/>
      </w:pPr>
      <w:r>
        <w:rPr>
          <w:i/>
          <w:iCs/>
          <w:sz w:val="22"/>
          <w:szCs w:val="22"/>
        </w:rPr>
        <w:t xml:space="preserve">Figure </w:t>
      </w:r>
      <w:bookmarkStart w:name="RefFig_mete3" w:id="1"/>
      <w:fldSimple w:instr="SEQ Figure \* ARABIC">
        <w:r>
          <w:t xml:space="preserve">0</w:t>
        </w:r>
      </w:fldSimple>
      <w:bookmarkEnd w:id="1"/>
      <w:r>
        <w:rPr>
          <w:i/>
          <w:iCs/>
          <w:sz w:val="22"/>
          <w:szCs w:val="22"/>
        </w:rPr>
        <w:t xml:space="preserve"> – Quatre métriques secondaires de la campagne E3 par bras : temps de constitution de la file, gigue VoIP, latence P95 des petits objets et temps de récupération.</w:t>
      </w:r>
    </w:p>
    <w:p>
      <w:pPr>
        <w:pStyle w:val="Heading3"/>
        <w:keepNext/>
        <w:spacing w:after="160" w:before="280" w:line="360"/>
      </w:pPr>
      <w:r>
        <w:t xml:space="preserve">5.4.3 Notes de qualité d'expérience</w:t>
      </w:r>
    </w:p>
    <w:p>
      <w:pPr>
        <w:spacing w:after="0" w:line="360"/>
        <w:ind w:firstLine="709"/>
        <w:jc w:val="both"/>
      </w:pPr>
      <w:r>
        <w:t xml:space="preserve">Chaque séquence reçoit une note de qualité d'expérience de A à D, dérivée des seuils pré-enregistrés sur le QDI, la gigue et la latence des petits objets. La </w:t>
      </w:r>
      <w:r>
        <w:t xml:space="preserve">Figure </w:t>
      </w:r>
      <w:fldSimple w:instr="REF RefFig_grades \h">
        <w:r>
          <w:t xml:space="preserve">0</w:t>
        </w:r>
      </w:fldSimple>
      <w:r>
        <w:t xml:space="preserve"> présente la distribution des notes par bras. Le contraste est éloquent : le bras A0 ne produit aucune note A ni B (16 séquences C et 22 séquences D sur 38), tandis que le bras A3 obtient 21 notes A, 16 notes B et une seule note C. Le bras A2 en est proche (18 A, 18 B, 2 C) ; le bras A1 occupe la position intermédiaire (12 A, 14 B, 12 C). Exprimé du point de vue de l'usager, une session sur le bras A0 est médiocre ou mauvaise dans 100 % des cas ; sur le bras A3, elle est bonne ou très bonne dans 97 % des cas.</w:t>
      </w:r>
    </w:p>
    <w:p>
      <w:pPr>
        <w:keepNext/>
        <w:spacing w:after="60" w:before="240" w:line="240"/>
        <w:jc w:val="center"/>
      </w:pPr>
      <w:r>
        <w:drawing>
          <wp:inline distT="0" distB="0" distL="0" distR="0">
            <wp:extent cx="57531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53100" cy="2943225"/>
                    </a:xfrm>
                    <a:prstGeom prst="rect">
                      <a:avLst/>
                    </a:prstGeom>
                  </pic:spPr>
                </pic:pic>
              </a:graphicData>
            </a:graphic>
          </wp:inline>
        </w:drawing>
      </w:r>
    </w:p>
    <w:p>
      <w:pPr>
        <w:spacing w:after="240" w:before="0" w:line="276"/>
        <w:jc w:val="center"/>
      </w:pPr>
      <w:r>
        <w:rPr>
          <w:i/>
          <w:iCs/>
          <w:sz w:val="22"/>
          <w:szCs w:val="22"/>
        </w:rPr>
        <w:t xml:space="preserve">Figure </w:t>
      </w:r>
      <w:bookmarkStart w:name="RefFig_grades" w:id="1"/>
      <w:fldSimple w:instr="SEQ Figure \* ARABIC">
        <w:r>
          <w:t xml:space="preserve">0</w:t>
        </w:r>
      </w:fldSimple>
      <w:bookmarkEnd w:id="1"/>
      <w:r>
        <w:rPr>
          <w:i/>
          <w:iCs/>
          <w:sz w:val="22"/>
          <w:szCs w:val="22"/>
        </w:rPr>
        <w:t xml:space="preserve"> – Distribution des notes de qualité d'expérience (A à D) par bras d'atténuation, sur 38 séquences par bras.</w:t>
      </w:r>
    </w:p>
    <w:p>
      <w:pPr>
        <w:pStyle w:val="Heading3"/>
        <w:keepNext/>
        <w:spacing w:after="160" w:before="280" w:line="360"/>
      </w:pPr>
      <w:r>
        <w:t xml:space="preserve">5.4.4 Gaspillage et coût en ariary</w:t>
      </w:r>
    </w:p>
    <w:p>
      <w:pPr>
        <w:spacing w:after="0" w:line="360"/>
        <w:ind w:firstLine="709"/>
        <w:jc w:val="both"/>
      </w:pPr>
      <w:r>
        <w:t xml:space="preserve">La métrique économique convertit les octets retransmis en dépense pour un forfait prépayé malgache. Le bras A0 gaspille 70 876,5 octets par séquence en médiane, soit un coût de 7,96 ariary par heure au tarif de référence. Le bras A3 réduit le gaspillage à 11 206 octets (0,64 ariary par heure) : une division par 6,3 du volume gaspillé et par 12,4 du coût médian. Le </w:t>
      </w:r>
      <w:r>
        <w:t xml:space="preserve">Tableau </w:t>
      </w:r>
      <w:fldSimple w:instr="REF RefTab_e3cost \h">
        <w:r>
          <w:t xml:space="preserve">0</w:t>
        </w:r>
      </w:fldSimple>
      <w:r>
        <w:t xml:space="preserve"> détaille ces valeurs et la </w:t>
      </w:r>
      <w:r>
        <w:t xml:space="preserve">Figure </w:t>
      </w:r>
      <w:fldSimple w:instr="REF RefFig_waste \h">
        <w:r>
          <w:t xml:space="preserve">0</w:t>
        </w:r>
      </w:fldSimple>
      <w:r>
        <w:t xml:space="preserve"> les visualise. Sur un lien saturé plusieurs heures par jour, l'écart entre une file FIFO et un façonnage adaptatif se compte donc en centaines d'ariary par mois et par usager : une somme modeste en absolu, mais obtenue sans matériel supplémentaire, par pure configuration logicielle.</w:t>
      </w:r>
    </w:p>
    <w:p>
      <w:pPr>
        <w:keepNext/>
        <w:spacing w:after="60" w:before="240" w:line="276"/>
        <w:jc w:val="center"/>
      </w:pPr>
      <w:r>
        <w:rPr>
          <w:i/>
          <w:iCs/>
          <w:sz w:val="22"/>
          <w:szCs w:val="22"/>
        </w:rPr>
        <w:t xml:space="preserve">Tableau </w:t>
      </w:r>
      <w:bookmarkStart w:name="RefTab_e3cost" w:id="1"/>
      <w:fldSimple w:instr="SEQ Tableau \* ARABIC">
        <w:r>
          <w:t xml:space="preserve">0</w:t>
        </w:r>
      </w:fldSimple>
      <w:bookmarkEnd w:id="1"/>
      <w:r>
        <w:rPr>
          <w:i/>
          <w:iCs/>
          <w:sz w:val="22"/>
          <w:szCs w:val="22"/>
        </w:rPr>
        <w:t xml:space="preserve"> – Gaspillage de retransmissions et coût économique par bras (valeurs médianes).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Bras</w:t>
            </w:r>
          </w:p>
        </w:tc>
        <w:tc>
          <w:tcPr>
            <w:tcW w:type="pct" w:w="32%"/>
            <w:shd w:fill="E7E6E6" w:val="clear"/>
            <w:tcMar>
              <w:top w:type="dxa" w:w="60"/>
              <w:left w:type="dxa" w:w="100"/>
              <w:bottom w:type="dxa" w:w="60"/>
              <w:right w:type="dxa" w:w="100"/>
            </w:tcMar>
            <w:vAlign w:val="center"/>
          </w:tcPr>
          <w:p>
            <w:pPr>
              <w:spacing w:after="0" w:line="240"/>
              <w:jc w:val="center"/>
            </w:pPr>
            <w:r>
              <w:rPr>
                <w:b/>
                <w:bCs/>
                <w:sz w:val="22"/>
                <w:szCs w:val="22"/>
              </w:rPr>
              <w:t xml:space="preserve">Octets gaspillés (médiane)</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Coût (ariary/heure)</w:t>
            </w:r>
          </w:p>
        </w:tc>
        <w:tc>
          <w:tcPr>
            <w:tcW w:type="pct" w:w="28%"/>
            <w:shd w:fill="E7E6E6" w:val="clear"/>
            <w:tcMar>
              <w:top w:type="dxa" w:w="60"/>
              <w:left w:type="dxa" w:w="100"/>
              <w:bottom w:type="dxa" w:w="60"/>
              <w:right w:type="dxa" w:w="100"/>
            </w:tcMar>
            <w:vAlign w:val="center"/>
          </w:tcPr>
          <w:p>
            <w:pPr>
              <w:spacing w:after="0" w:line="240"/>
              <w:jc w:val="center"/>
            </w:pPr>
            <w:r>
              <w:rPr>
                <w:b/>
                <w:bCs/>
                <w:sz w:val="22"/>
                <w:szCs w:val="22"/>
              </w:rPr>
              <w:t xml:space="preserve">Réduction vs A0</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A0</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70 876,5</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7,96</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référence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A1</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20 254,5</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1,58</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 3,5</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A2</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12 490,0</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1,73</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 5,7</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A3</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11 206,0</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0,64</w:t>
            </w:r>
          </w:p>
        </w:tc>
        <w:tc>
          <w:tcPr>
            <w:tcW w:type="pct" w:w="28%"/>
            <w:tcMar>
              <w:top w:type="dxa" w:w="60"/>
              <w:left w:type="dxa" w:w="100"/>
              <w:bottom w:type="dxa" w:w="60"/>
              <w:right w:type="dxa" w:w="100"/>
            </w:tcMar>
            <w:vAlign w:val="center"/>
          </w:tcPr>
          <w:p>
            <w:pPr>
              <w:spacing w:after="0" w:line="240"/>
              <w:jc w:val="left"/>
            </w:pPr>
            <w:r>
              <w:rPr>
                <w:b w:val="false"/>
                <w:bCs w:val="false"/>
                <w:sz w:val="22"/>
                <w:szCs w:val="22"/>
              </w:rPr>
              <w:t xml:space="preserve">÷ 6,3</w:t>
            </w:r>
          </w:p>
        </w:tc>
      </w:tr>
    </w:tbl>
    <w:p>
      <w:pPr>
        <w:spacing w:after="240" w:line="240"/>
      </w:pPr>
    </w:p>
    <w:p>
      <w:pPr>
        <w:keepNext/>
        <w:spacing w:after="60" w:before="240" w:line="240"/>
        <w:jc w:val="center"/>
      </w:pPr>
      <w:r>
        <w:drawing>
          <wp:inline distT="0" distB="0" distL="0" distR="0">
            <wp:extent cx="57531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3000375"/>
                    </a:xfrm>
                    <a:prstGeom prst="rect">
                      <a:avLst/>
                    </a:prstGeom>
                  </pic:spPr>
                </pic:pic>
              </a:graphicData>
            </a:graphic>
          </wp:inline>
        </w:drawing>
      </w:r>
    </w:p>
    <w:p>
      <w:pPr>
        <w:spacing w:after="240" w:before="0" w:line="276"/>
        <w:jc w:val="center"/>
      </w:pPr>
      <w:r>
        <w:rPr>
          <w:i/>
          <w:iCs/>
          <w:sz w:val="22"/>
          <w:szCs w:val="22"/>
        </w:rPr>
        <w:t xml:space="preserve">Figure </w:t>
      </w:r>
      <w:bookmarkStart w:name="RefFig_waste" w:id="1"/>
      <w:fldSimple w:instr="SEQ Figure \* ARABIC">
        <w:r>
          <w:t xml:space="preserve">0</w:t>
        </w:r>
      </w:fldSimple>
      <w:bookmarkEnd w:id="1"/>
      <w:r>
        <w:rPr>
          <w:i/>
          <w:iCs/>
          <w:sz w:val="22"/>
          <w:szCs w:val="22"/>
        </w:rPr>
        <w:t xml:space="preserve"> – Octets gaspillés en retransmissions et coût converti en ariary par heure, par bras d'atténuation.</w:t>
      </w:r>
    </w:p>
    <w:p>
      <w:pPr>
        <w:pStyle w:val="Heading3"/>
        <w:keepNext/>
        <w:spacing w:after="160" w:before="280" w:line="360"/>
      </w:pPr>
      <w:r>
        <w:t xml:space="preserve">5.4.5 Analyse par profil de lien</w:t>
      </w:r>
    </w:p>
    <w:p>
      <w:pPr>
        <w:spacing w:after="0" w:line="360"/>
        <w:ind w:firstLine="709"/>
        <w:jc w:val="both"/>
      </w:pPr>
      <w:r>
        <w:t xml:space="preserve">L'agrégat masque une structure que le </w:t>
      </w:r>
      <w:r>
        <w:t xml:space="preserve">Tableau </w:t>
      </w:r>
      <w:fldSimple w:instr="REF RefTab_e3profile \h">
        <w:r>
          <w:t xml:space="preserve">0</w:t>
        </w:r>
      </w:fldSimple>
      <w:r>
        <w:t xml:space="preserve"> révèle : le classement des bras dépend du profil de lien. Sur lien propre, le façonneur adaptatif est très nettement le meilleur (QDI médian de 4,4 ms contre 13,3 ms pour A2) : la boucle de rétroaction converge vite quand le signal est net. Sur le profil de RTT à 50 ms, A3 conserve l'avantage (8,9 contre 11,9 ms). Sur le profil de RTT à 160 ms en revanche, la hiérarchie s'inverse : le fq_codel réglé l'emporte (9,6 ms) sur le façonneur adaptatif (22,9 ms). L'explication tient à la boucle de contrôle : avec un temps d'aller-retour de 160 ms, le retour d'information qui alimente le bandit ARMS arrive trop tard, et le façonneur oscille autour du point de fonctionnement que le fq_codel réglé, statique, occupe d'emblée. Sur le profil 4G avec pertes, A3 reprend l'avantage (16,1 contre 20,6 ms), car sa capacité d'adaptation compense la non-stationnarité du lien.</w:t>
      </w:r>
    </w:p>
    <w:p>
      <w:pPr>
        <w:keepNext/>
        <w:spacing w:after="60" w:before="240" w:line="276"/>
        <w:jc w:val="center"/>
      </w:pPr>
      <w:r>
        <w:rPr>
          <w:i/>
          <w:iCs/>
          <w:sz w:val="22"/>
          <w:szCs w:val="22"/>
        </w:rPr>
        <w:t xml:space="preserve">Tableau </w:t>
      </w:r>
      <w:bookmarkStart w:name="RefTab_e3profile" w:id="1"/>
      <w:fldSimple w:instr="SEQ Tableau \* ARABIC">
        <w:r>
          <w:t xml:space="preserve">0</w:t>
        </w:r>
      </w:fldSimple>
      <w:bookmarkEnd w:id="1"/>
      <w:r>
        <w:rPr>
          <w:i/>
          <w:iCs/>
          <w:sz w:val="22"/>
          <w:szCs w:val="22"/>
        </w:rPr>
        <w:t xml:space="preserve"> – QDI médian par bras et par profil de lien (millisecondes).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Bras</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Lien propre</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RTT 50 ms</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RTT 160 ms</w:t>
            </w:r>
          </w:p>
        </w:tc>
        <w:tc>
          <w:tcPr>
            <w:tcW w:type="pct" w:w="22%"/>
            <w:shd w:fill="E7E6E6" w:val="clear"/>
            <w:tcMar>
              <w:top w:type="dxa" w:w="60"/>
              <w:left w:type="dxa" w:w="100"/>
              <w:bottom w:type="dxa" w:w="60"/>
              <w:right w:type="dxa" w:w="100"/>
            </w:tcMar>
            <w:vAlign w:val="center"/>
          </w:tcPr>
          <w:p>
            <w:pPr>
              <w:spacing w:after="0" w:line="240"/>
              <w:jc w:val="center"/>
            </w:pPr>
            <w:r>
              <w:rPr>
                <w:b/>
                <w:bCs/>
                <w:sz w:val="22"/>
                <w:szCs w:val="22"/>
              </w:rPr>
              <w:t xml:space="preserve">4G avec pertes</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A0</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56,3</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77,9</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115,1</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95,9</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A1</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19,7</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14,3</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39,0</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40,5</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A2</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13,3</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11,9</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9,6</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20,6</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A3</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4,4</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8,9</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22,9</w:t>
            </w:r>
          </w:p>
        </w:tc>
        <w:tc>
          <w:tcPr>
            <w:tcW w:type="pct" w:w="22%"/>
            <w:tcMar>
              <w:top w:type="dxa" w:w="60"/>
              <w:left w:type="dxa" w:w="100"/>
              <w:bottom w:type="dxa" w:w="60"/>
              <w:right w:type="dxa" w:w="100"/>
            </w:tcMar>
            <w:vAlign w:val="center"/>
          </w:tcPr>
          <w:p>
            <w:pPr>
              <w:spacing w:after="0" w:line="240"/>
              <w:jc w:val="left"/>
            </w:pPr>
            <w:r>
              <w:rPr>
                <w:b w:val="false"/>
                <w:bCs w:val="false"/>
                <w:sz w:val="22"/>
                <w:szCs w:val="22"/>
              </w:rPr>
              <w:t xml:space="preserve">16,1</w:t>
            </w:r>
          </w:p>
        </w:tc>
      </w:tr>
    </w:tbl>
    <w:p>
      <w:pPr>
        <w:spacing w:after="240" w:line="240"/>
      </w:pPr>
    </w:p>
    <w:p>
      <w:pPr>
        <w:pStyle w:val="Heading3"/>
        <w:keepNext/>
        <w:spacing w:after="160" w:before="280" w:line="360"/>
      </w:pPr>
      <w:r>
        <w:t xml:space="preserve">5.4.6 Verdict sur l'hypothèse H3</w:t>
      </w:r>
    </w:p>
    <w:p>
      <w:pPr>
        <w:spacing w:after="0" w:line="360"/>
        <w:ind w:firstLine="709"/>
        <w:jc w:val="both"/>
      </w:pPr>
      <w:r>
        <w:t xml:space="preserve">L'hypothèse pré-enregistrée H3 énonçait que le façonneur adaptatif obtiendrait un QDI médian inférieur à celui du meilleur bras statique, avec une contingence explicite : la supériorité pourrait ne pas tenir sur les liens à fort temps d'aller-retour, où la boucle de rétroaction est pénalisée. Le résultat confirme H3 en agrégat (13,45 ms contre 15,95 ms pour A2, test de Wilcoxon apparié significatif) et matérialise exactement la contingence annoncée : sur le profil de RTT à 160 ms, le fq_codel réglé domine le façonneur adaptatif. Ce résultat négatif partiel, prévu et pré-enregistré, est traité comme un résultat à part entière : il délimite le domaine de validité de l'adaptation (liens à RTT court ou modéré, liens non stationnaires) et désigne la configuration statique bien réglée comme le choix rationnel sur les liens longs et stables.</w:t>
      </w:r>
    </w:p>
    <w:p>
      <w:pPr>
        <w:pStyle w:val="Heading2"/>
        <w:keepNext/>
        <w:spacing w:after="200" w:before="360" w:line="360"/>
      </w:pPr>
      <w:r>
        <w:t xml:space="preserve">5.5 Confrontation aux hypothèses pré-enregistrées</w:t>
      </w:r>
    </w:p>
    <w:p>
      <w:pPr>
        <w:spacing w:after="0" w:line="360"/>
        <w:ind w:firstLine="709"/>
        <w:jc w:val="both"/>
      </w:pPr>
      <w:r>
        <w:t xml:space="preserve">Le </w:t>
      </w:r>
      <w:r>
        <w:t xml:space="preserve">Tableau </w:t>
      </w:r>
      <w:fldSimple w:instr="REF RefTab_verdicts \h">
        <w:r>
          <w:t xml:space="preserve">0</w:t>
        </w:r>
      </w:fldSimple>
      <w:r>
        <w:t xml:space="preserve"> récapitule la confrontation des trois hypothèses pré-enregistrées aux résultats des campagnes. La valeur de ce tableau tient à son antériorité : les directions attendues, les marges et les contingences ont été consignées et hachées avant l'exécution des campagnes, de sorte qu'aucun verdict n'a pu être ajusté après coup.</w:t>
      </w:r>
    </w:p>
    <w:p>
      <w:pPr>
        <w:keepNext/>
        <w:spacing w:after="60" w:before="240" w:line="276"/>
        <w:jc w:val="center"/>
      </w:pPr>
      <w:r>
        <w:rPr>
          <w:i/>
          <w:iCs/>
          <w:sz w:val="22"/>
          <w:szCs w:val="22"/>
        </w:rPr>
        <w:t xml:space="preserve">Tableau </w:t>
      </w:r>
      <w:bookmarkStart w:name="RefTab_verdicts" w:id="1"/>
      <w:fldSimple w:instr="SEQ Tableau \* ARABIC">
        <w:r>
          <w:t xml:space="preserve">0</w:t>
        </w:r>
      </w:fldSimple>
      <w:bookmarkEnd w:id="1"/>
      <w:r>
        <w:rPr>
          <w:i/>
          <w:iCs/>
          <w:sz w:val="22"/>
          <w:szCs w:val="22"/>
        </w:rPr>
        <w:t xml:space="preserve"> – Verdicts sur les hypothèses pré-enregistrées.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Hypothèse</w:t>
            </w:r>
          </w:p>
        </w:tc>
        <w:tc>
          <w:tcPr>
            <w:tcW w:type="pct" w:w="32%"/>
            <w:shd w:fill="E7E6E6" w:val="clear"/>
            <w:tcMar>
              <w:top w:type="dxa" w:w="60"/>
              <w:left w:type="dxa" w:w="100"/>
              <w:bottom w:type="dxa" w:w="60"/>
              <w:right w:type="dxa" w:w="100"/>
            </w:tcMar>
            <w:vAlign w:val="center"/>
          </w:tcPr>
          <w:p>
            <w:pPr>
              <w:spacing w:after="0" w:line="240"/>
              <w:jc w:val="center"/>
            </w:pPr>
            <w:r>
              <w:rPr>
                <w:b/>
                <w:bCs/>
                <w:sz w:val="22"/>
                <w:szCs w:val="22"/>
              </w:rPr>
              <w:t xml:space="preserve">Énoncé pré-enregistré</w:t>
            </w:r>
          </w:p>
        </w:tc>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Résultat observé</w:t>
            </w:r>
          </w:p>
        </w:tc>
        <w:tc>
          <w:tcPr>
            <w:tcW w:type="pct" w:w="26%"/>
            <w:shd w:fill="E7E6E6" w:val="clear"/>
            <w:tcMar>
              <w:top w:type="dxa" w:w="60"/>
              <w:left w:type="dxa" w:w="100"/>
              <w:bottom w:type="dxa" w:w="60"/>
              <w:right w:type="dxa" w:w="100"/>
            </w:tcMar>
            <w:vAlign w:val="center"/>
          </w:tcPr>
          <w:p>
            <w:pPr>
              <w:spacing w:after="0" w:line="240"/>
              <w:jc w:val="center"/>
            </w:pPr>
            <w:r>
              <w:rPr>
                <w:b/>
                <w:bCs/>
                <w:sz w:val="22"/>
                <w:szCs w:val="22"/>
              </w:rPr>
              <w:t xml:space="preserve">Verdict</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H1 (RQ1)</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K-S détecte plus tôt que le seuil fixe, marge de 500 ms</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Écart médian de 884,5 ms en faveur de K-S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Confirmée, réserve sur les faux positifs (5,39 %)</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H2 (RQ2)</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Limites d’agrément &lt; 15 % pour au moins une sonde</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Train de paquets dans les limites, sans biais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Confirmée</w:t>
            </w:r>
          </w:p>
        </w:tc>
      </w:tr>
      <w:tr>
        <w:trPr>
          <w:cantSplit/>
        </w:trPr>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H3 (RQ3)</w:t>
            </w:r>
          </w:p>
        </w:tc>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A3 &lt; meilleur bras statique en QDI médian, contingence RTT élevé</w:t>
            </w:r>
          </w:p>
        </w:tc>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13,45 ms contre 15,95 ms ; inversion à 160 ms</w:t>
            </w:r>
          </w:p>
        </w:tc>
        <w:tc>
          <w:tcPr>
            <w:tcW w:type="pct" w:w="26%"/>
            <w:tcMar>
              <w:top w:type="dxa" w:w="60"/>
              <w:left w:type="dxa" w:w="100"/>
              <w:bottom w:type="dxa" w:w="60"/>
              <w:right w:type="dxa" w:w="100"/>
            </w:tcMar>
            <w:vAlign w:val="center"/>
          </w:tcPr>
          <w:p>
            <w:pPr>
              <w:spacing w:after="0" w:line="240"/>
              <w:jc w:val="left"/>
            </w:pPr>
            <w:r>
              <w:rPr>
                <w:b w:val="false"/>
                <w:bCs w:val="false"/>
                <w:sz w:val="22"/>
                <w:szCs w:val="22"/>
              </w:rPr>
              <w:t xml:space="preserve">Confirmée avec contingence matérialisée</w:t>
            </w:r>
          </w:p>
        </w:tc>
      </w:tr>
    </w:tbl>
    <w:p>
      <w:pPr>
        <w:spacing w:after="240" w:line="240"/>
      </w:pPr>
    </w:p>
    <w:p>
      <w:pPr>
        <w:pStyle w:val="Heading2"/>
        <w:keepNext/>
        <w:spacing w:after="200" w:before="360" w:line="360"/>
      </w:pPr>
      <w:r>
        <w:t xml:space="preserve">5.6 Discussion</w:t>
      </w:r>
    </w:p>
    <w:p>
      <w:pPr>
        <w:spacing w:after="0" w:line="360"/>
        <w:ind w:firstLine="709"/>
        <w:jc w:val="both"/>
      </w:pPr>
      <w:r>
        <w:t xml:space="preserve">Trois enseignements dépassent le cadre du banc. Le premier concerne la détection : le classement obtenu contredit la pratique dominante. Le seuil fixe, détecteur le plus répandu dans les équipements et les outils de supervision, est le plus mauvais choix sur les événements réalistes que sont les rampes et les effondrements diurnes, précisément les formes que produit un lien d'accès malgache aux heures de pointe. Le test de Kolmogorov-Smirnov, presque absent des implémentations réseau alors qu'il est un classique de la statistique depuis 1951 [39], le devance de 884,5 ms en médiane avec une stabilité inter-familles inégalée. Une avance de 800 à 900 ms est loin d'être symbolique : rapportée au temps de constitution de la file mesuré en E3 (1 793 ms sur FIFO), elle représente la moitié du délai disponible pour agir avant que le bufferbloat ne s'installe.</w:t>
      </w:r>
    </w:p>
    <w:p>
      <w:pPr>
        <w:spacing w:after="0" w:line="360"/>
        <w:ind w:firstLine="709"/>
        <w:jc w:val="both"/>
      </w:pPr>
      <w:r>
        <w:t xml:space="preserve">Le deuxième enseignement concerne l'atténuation : la hiérarchie des gains est une hiérarchie des efforts. Passer de la FIFO à fq_codel par défaut ne demande qu'une ligne de configuration et procure à lui seul les deux tiers du gain total observé. Le réglage au profil, puis l'adaptation, apportent des gains réels mais décroissants, et le cas du RTT à 160 ms montre que l'adaptation peut même devenir contre-productive. Pour un opérateur ou un gestionnaire de parc malgache, la recommandation opérationnelle est donc graduée : déployer fq_codel partout est urgent et gratuit ; régler ses paramètres est rentable là où le profil de lien est connu ; l'adaptation ne se justifie que sur les liens courts ou non stationnaires, et à condition de disposer d'une boucle de mesure fiable.</w:t>
      </w:r>
    </w:p>
    <w:p>
      <w:pPr>
        <w:spacing w:after="0" w:line="360"/>
        <w:ind w:firstLine="709"/>
        <w:jc w:val="both"/>
      </w:pPr>
      <w:r>
        <w:t xml:space="preserve">Le troisième enseignement est méthodologique. Toutes les affirmations qui précèdent sont adossées à des événements datés par construction, réconciliées par des instruments tiers et régénérables depuis une archive hachée. Le coût de cette rigueur s'est révélé modeste : les portes de qualité n'ont mis en quarantaine qu'une fraction marginale des séquences, le re-pointage a reproduit l'intégralité des cellules, et l'ensemble du dispositif tient sur une machine unique. La vérité terrain n'est donc pas un luxe de laboratoire : elle est accessible avec des moyens compatibles avec le contexte malgache, et elle change la nature des conclusions, qui passent du plausible au vérifiable.</w:t>
      </w:r>
    </w:p>
    <w:p>
      <w:pPr>
        <w:pStyle w:val="Heading2"/>
        <w:keepNext/>
        <w:spacing w:after="200" w:before="360" w:line="360"/>
      </w:pPr>
      <w:r>
        <w:t xml:space="preserve">5.7 Limites de l'étude</w:t>
      </w:r>
    </w:p>
    <w:p>
      <w:pPr>
        <w:spacing w:after="0" w:line="360"/>
        <w:ind w:firstLine="709"/>
        <w:jc w:val="both"/>
      </w:pPr>
      <w:r>
        <w:t xml:space="preserve">Les limites du travail sont connues, assumées et pour la plupart pré-enregistrées. La première est le recours à l'émulation : les profils rejoués, même calibrés sur un lien 4G réel d'Antananarivo, restent des modèles, et la diversité des équipements d'opérateur (files propriétaires, ordonnanceurs radio) n'est pas reproduite. Le bras de validation sur lien réel borne cette limite sans l'annuler. La deuxième est la machine unique : malgré l'épinglage CPU, la covariable processeur et les plans appariés, le bruit de la virtualisation demeure une source de variance, visible dans les écarts-types de la campagne E3. La troisième est le périmètre des détecteurs : cinq algorithmes classiques ont été comparés, à l'exclusion des approches par apprentissage, dont l'entraînement aurait exigé des volumes de données et une infrastructure hors du cadre de ce mémoire. La quatrième est la portée du façonneur adaptatif : son inversion de performance à 160 ms de RTT montre que ses règles de décision, réglées sur des liens courts, ne se transfèrent pas sans précaution ; une adaptation du bandit ARMS aux boucles longues est une perspective, pas un acquis. Enfin, les métriques économiques reposent sur un tarif de référence prépayé qui varie selon les opérateurs et les promotions : les valeurs en ariary doivent être lues comme des ordres de grandeur.</w:t>
      </w:r>
    </w:p>
    <w:p>
      <w:pPr>
        <w:pStyle w:val="Heading2"/>
        <w:keepNext/>
        <w:spacing w:after="200" w:before="360" w:line="360"/>
      </w:pPr>
      <w:r>
        <w:t xml:space="preserve">5.8 Synthèse de la partie</w:t>
      </w:r>
    </w:p>
    <w:p>
      <w:pPr>
        <w:spacing w:after="0" w:line="360"/>
        <w:ind w:firstLine="709"/>
        <w:jc w:val="both"/>
      </w:pPr>
      <w:r>
        <w:t xml:space="preserve">Les campagnes ont rempli les cellules de mesure que le pré-enregistrement laissait ouvertes. La campagne E1 établit un classement falsifiable de cinq détecteurs et désigne le test de Kolmogorov-Smirnov comme le plus précoce et le plus stable, au prix d'un taux de faux positifs de 5,39 %. La campagne E2 valide la sonde par train de paquets comme estimateur sans biais dans les limites d'agrément pré-enregistrées. La campagne E3 quantifie la hiérarchie des atténuations, du bufferbloat de la FIFO (87,25 ms de QDI médian) au façonneur adaptatif (13,45 ms), tout en délimitant le domaine de validité de l'adaptation. Les trois hypothèses sont confirmées, chacune avec sa nuance, et chaque nombre de cette partie est re-dérivable depuis l'archive gelée. Il reste à conclure : rappeler le chemin parcouru, énoncer les contributions et ouvrir les perspectives.</w:t>
      </w:r>
    </w:p>
    <w:p>
      <w:pPr>
        <w:pStyle w:val="Heading1"/>
        <w:pageBreakBefore/>
        <w:spacing w:after="360" w:before="0" w:line="360"/>
        <w:jc w:val="center"/>
      </w:pPr>
      <w:r>
        <w:t xml:space="preserve">CONCLUSION GÉNÉRALE</w:t>
      </w:r>
    </w:p>
    <w:p>
      <w:pPr>
        <w:spacing w:after="0" w:line="360"/>
        <w:ind w:firstLine="709"/>
        <w:jc w:val="both"/>
      </w:pPr>
      <w:r>
        <w:t xml:space="preserve">Ce travail partait d'un constat simple et d'une exigence. Le constat : les liens d'accès malgaches sont parmi les plus contraints qui soient, avec un temps de propagation élevé, une capacité qui s'effondre aux heures de pointe et un coût par octet qui transforme chaque retransmission en dépense ; or les outils disponibles pour les mesurer observent des symptômes sans jamais pouvoir dater le début réel d'une congestion, faute de vérité terrain. L'exigence : qu'aucun nombre publié ne repose sur la seule parole de l'expérimentateur.</w:t>
      </w:r>
    </w:p>
    <w:p>
      <w:pPr>
        <w:spacing w:after="0" w:line="360"/>
        <w:ind w:firstLine="709"/>
        <w:jc w:val="both"/>
      </w:pPr>
      <w:r>
        <w:t xml:space="preserve">La méthode de l'analyse de l'existant, appliquée aux trois couches de l'environnement de mesure (le terrain, l'état de l'art, le banc), a établi l'écart qui fonde le travail : un terrain contraint, des outils sans vérité terrain, et un banc capable d'en produire. La solution proposée, l'observatoire CGO (Congestion Ground-truth Observatory), referme cet écart. L'instrument s'organise en paquets Go distincts : pkg/adaptive/controller.go pour la boucle de rétroaction adaptative, pkg/api/server_v2.go pour la couche HTTP, pkg/qdisc/netlink_manager.go pour l'interaction avec le noyau via netlink, pkg/detect pour les détecteurs (seuil fixe, gradient, EWMA, z-score, Kolmogorov-Smirnov, différence de débit), pkg/campaign/engine.go pour l'orchestration des campagnes, pkg/metrics/collector_v2.go pour la collecte des métriques TCP, et pkg/stats pour l'inférence statistique.</w:t>
      </w:r>
    </w:p>
    <w:p>
      <w:pPr>
        <w:spacing w:after="0" w:line="360"/>
        <w:ind w:firstLine="709"/>
        <w:jc w:val="both"/>
      </w:pPr>
      <w:r>
        <w:t xml:space="preserve">Les contributions sont de trois ordres. Instrumentale d'abord : un binaire Go statique d'environ 13 Mo qui, sur une machine unique et sans connexion, produit des événements de congestion datés par construction et des compteurs exacts, pour un coût matériel de l'ordre de 20 000 ariary. Le contrôleur adaptatif intègre un système de bandit ARMS (Adaptive Rate Management System) qui explore et exploite simultanément les stratégies de régulation, chaque bras encapsulant une configuration de contrôle de congestion. Scientifique ensuite : un classement de détecteurs falsifiable, obtenu sur 204 événements datés, qui place le test de Kolmogorov-Smirnov en tête avec un retard médian de 1 444,5 ms, soit 884,5 ms d'avance sur le seuil fixe, au prix d'un taux de faux positifs de 5,39 % ; et une quantification de l'atténuation sur 152 séquences, qui ramène la dégradation de délai de file d'une médiane de 87,25 ms sous FIFO à 13,45 ms sous façonnage adaptatif, en divisant par plus de six le volume d'octets gaspillés. Méthodologique enfin : une chaîne de confiance complète, de l'échantillon à la figure, où la réconciliation double canal, les sabotages programmés (NC-1, NC-2, NC-3), les portes de qualité et la re-dérivation par un tiers remplacent la confiance en l'auteur.</w:t>
      </w:r>
    </w:p>
    <w:p>
      <w:pPr>
        <w:spacing w:after="0" w:line="360"/>
        <w:ind w:firstLine="709"/>
        <w:jc w:val="both"/>
      </w:pPr>
      <w:r>
        <w:t xml:space="preserve">Les trois questions de recherche reçoivent une réponse adossée au pré-enregistrement. RQ1 : le test de Kolmogorov-Smirnov détecte le début de congestion plus tôt que les quatre autres détecteurs, avec une stabilité inter-familles que le seuil fixe, dominant en pratique, ne possède pas ; l'hypothèse H1 est confirmée au-delà de sa marge, avec la réserve pré-annoncée sur les faux positifs. RQ2 : la sonde par train de paquets retrouve la capacité imposée dans les limites d'agrément de Bland et Altman [45] fixées avant campagne ; H2 est confirmée. RQ3 : le façonneur adaptatif domine les configurations statiques en agrégat, mais la contingence pré-enregistrée s'est matérialisée sur le profil de RTT à 160 ms, où le fq_codel réglé reprend l'avantage ; H3 est confirmée avec cette délimitation explicite de son domaine de validité. Ce résultat négatif partiel, publié comme tel, illustre la valeur du pré-enregistrement : les directions attendues et leurs contingences ayant été consignées avant les campagnes, un résultat contraire demeure un résultat.</w:t>
      </w:r>
    </w:p>
    <w:p>
      <w:pPr>
        <w:spacing w:after="0" w:line="360"/>
        <w:ind w:firstLine="709"/>
        <w:jc w:val="both"/>
      </w:pPr>
      <w:r>
        <w:t xml:space="preserve">Les limites sont connues et assumées. L'émulation est un choix, dont le bras 4G réel vérifie la portée. La machine unique expose au bruit de la machine virtuelle, contenu par l'épinglage CPU (taskset sur les processeurs 0 et 1), la covariable processeur et les plans appariés. Le périmètre exclut volontairement l'eBPF et le multi-machine, renvoyés aux perspectives. La sécurité opérationnelle de l'instrument est assurée par un système de contrôles (pkg/api/safety.go) qui valide chaque changement avant application et par un journal des décisions (pkg/api/decision_log.go) qui enregistre chaque action avec son horodatage, sa raison et son résultat.</w:t>
      </w:r>
    </w:p>
    <w:p>
      <w:pPr>
        <w:spacing w:after="0" w:line="360"/>
        <w:ind w:firstLine="709"/>
        <w:jc w:val="both"/>
      </w:pPr>
      <w:r>
        <w:t xml:space="preserve">Trois perspectives prolongent le travail. Un outil d'audit indépendant, d'abord, susceptible de confronter les déclarations de qualité de service des opérateurs à des mesures datées, en utilisant le protocole de double canal et la chaîne d'intégrité SHA-256 comme preuve opposable. Un jeu de données de congestion à vérité terrain, ensuite, publié avec identifiant pérenne, réutilisable et citable via le dépôt Zenodo [53]. Le transfert du protocole, enfin, à d'autres institutions et d'autres classes de liens (fibre optique, WiMAX, satellite Starlink), ainsi que l'extension du bandit ARMS aux boucles de contrôle longues, que l'inversion observée à 160 ms de RTT désigne comme le prochain verrou à lever.</w:t>
      </w:r>
    </w:p>
    <w:p>
      <w:pPr>
        <w:spacing w:after="0" w:line="360"/>
        <w:ind w:firstLine="709"/>
        <w:jc w:val="both"/>
      </w:pPr>
      <w:r>
        <w:t xml:space="preserve">Au-delà du banc, l'apport durable de ce travail est peut-être le plus simple à énoncer : il est possible, avec des moyens modestes et depuis Madagascar, de produire une mesure réseau qui ne demande pas qu'on la croie, seulement qu'on la vérifie.</w:t>
      </w:r>
    </w:p>
    <w:p>
      <w:pPr>
        <w:pStyle w:val="Heading1"/>
        <w:pageBreakBefore/>
        <w:spacing w:after="360" w:before="0" w:line="360"/>
        <w:jc w:val="center"/>
      </w:pPr>
      <w:r>
        <w:t xml:space="preserve">RÉFÉRENCES BIBLIOGRAPHIQUES</w:t>
      </w:r>
    </w:p>
    <w:p>
      <w:pPr>
        <w:spacing w:after="0" w:line="360"/>
        <w:jc w:val="both"/>
      </w:pPr>
      <w:r>
        <w:t xml:space="preserve">Auteurs, Éditeur, année d'édition. Titre de l'ouvrage ou de l'article.</w:t>
      </w:r>
    </w:p>
    <w:p>
      <w:pPr>
        <w:spacing w:after="80" w:line="276"/>
        <w:ind w:left="567" w:hanging="567"/>
        <w:jc w:val="both"/>
      </w:pPr>
      <w:r>
        <w:t xml:space="preserve">[30] IETF, 2017. RFC 8290  The Flow Queue CoDel Packet Scheduler and Active Queue Management.</w:t>
      </w:r>
    </w:p>
    <w:p>
      <w:pPr>
        <w:spacing w:after="80" w:line="276"/>
        <w:ind w:left="567" w:hanging="567"/>
        <w:jc w:val="both"/>
      </w:pPr>
      <w:r>
        <w:t xml:space="preserve">[31] IETF, 2017. RFC 8289  Controlled Delay Active Queue Management.</w:t>
      </w:r>
    </w:p>
    <w:p>
      <w:pPr>
        <w:spacing w:after="80" w:line="276"/>
        <w:ind w:left="567" w:hanging="567"/>
        <w:jc w:val="both"/>
      </w:pPr>
      <w:r>
        <w:t xml:space="preserve">[32] IETF, 2015. RFC 7567  IETF Recommendations Regarding Active Queue Management.</w:t>
      </w:r>
    </w:p>
    <w:p>
      <w:pPr>
        <w:spacing w:after="80" w:line="276"/>
        <w:ind w:left="567" w:hanging="567"/>
        <w:jc w:val="both"/>
      </w:pPr>
      <w:r>
        <w:t xml:space="preserve">[33] NICHOLS K., JACOBSON V., ACM Queue, 2011. Controlling Queue Delay.</w:t>
      </w:r>
    </w:p>
    <w:p>
      <w:pPr>
        <w:spacing w:after="80" w:line="276"/>
        <w:ind w:left="567" w:hanging="567"/>
        <w:jc w:val="both"/>
      </w:pPr>
      <w:r>
        <w:t xml:space="preserve">[34] GETTYS J., NICHOLS K., ACM Queue, 2011. Bufferbloat  Dark Buffers in the Internet.</w:t>
      </w:r>
    </w:p>
    <w:p>
      <w:pPr>
        <w:spacing w:after="80" w:line="276"/>
        <w:ind w:left="567" w:hanging="567"/>
        <w:jc w:val="both"/>
      </w:pPr>
      <w:r>
        <w:t xml:space="preserve">[35] CARDWELL N. et al., ACM Queue, 2016. BBR  Congestion-Based Congestion Control.</w:t>
      </w:r>
    </w:p>
    <w:p>
      <w:pPr>
        <w:spacing w:after="80" w:line="276"/>
        <w:ind w:left="567" w:hanging="567"/>
        <w:jc w:val="both"/>
      </w:pPr>
      <w:r>
        <w:t xml:space="preserve">[36] HA S., RHEE I., XU L., ACM SIGOPS Operating Systems Review, 2008. CUBIC  A New TCP-Friendly High-Speed TCP Variant.</w:t>
      </w:r>
    </w:p>
    <w:p>
      <w:pPr>
        <w:spacing w:after="80" w:line="276"/>
        <w:ind w:left="567" w:hanging="567"/>
        <w:jc w:val="both"/>
      </w:pPr>
      <w:r>
        <w:t xml:space="preserve">[37] IETF, 2018. RFC 8312  CUBIC for Fast Long-Distance Networks.</w:t>
      </w:r>
    </w:p>
    <w:p>
      <w:pPr>
        <w:spacing w:after="80" w:line="276"/>
        <w:ind w:left="567" w:hanging="567"/>
        <w:jc w:val="both"/>
      </w:pPr>
      <w:r>
        <w:t xml:space="preserve">[38] HØILAND-JØRGENSEN T. et al., arXiv, 2018. Piece of CAKE  A Comprehensive Queue Management Solution for Home Gateways.</w:t>
      </w:r>
    </w:p>
    <w:p>
      <w:pPr>
        <w:spacing w:after="80" w:line="276"/>
        <w:ind w:left="567" w:hanging="567"/>
        <w:jc w:val="both"/>
      </w:pPr>
      <w:r>
        <w:t xml:space="preserve">[39] MASSEY F. J., Journal of the American Statistical Association, 1951. The Kolmogorov-Smirnov Test for Goodness of Fit.</w:t>
      </w:r>
    </w:p>
    <w:p>
      <w:pPr>
        <w:spacing w:after="80" w:line="276"/>
        <w:ind w:left="567" w:hanging="567"/>
        <w:jc w:val="both"/>
      </w:pPr>
      <w:r>
        <w:t xml:space="preserve">[40] KESHAV S., ACM SIGCOMM, 1991. A Control-Theoretic Approach to Flow Control.</w:t>
      </w:r>
    </w:p>
    <w:p>
      <w:pPr>
        <w:spacing w:after="80" w:line="276"/>
        <w:ind w:left="567" w:hanging="567"/>
        <w:jc w:val="both"/>
      </w:pPr>
      <w:r>
        <w:t xml:space="preserve">[41] JAIN M., DOVROLIS C., Passive and Active Measurement, 2002. Pathload  A Measurement Tool for End-to-End Available Bandwidth.</w:t>
      </w:r>
    </w:p>
    <w:p>
      <w:pPr>
        <w:spacing w:after="80" w:line="276"/>
        <w:ind w:left="567" w:hanging="567"/>
        <w:jc w:val="both"/>
      </w:pPr>
      <w:r>
        <w:t xml:space="preserve">[42] ITU-T, 2019. Recommandation G.107  The E-model, a computational model for use in transmission planning.</w:t>
      </w:r>
    </w:p>
    <w:p>
      <w:pPr>
        <w:spacing w:after="80" w:line="276"/>
        <w:ind w:left="567" w:hanging="567"/>
        <w:jc w:val="both"/>
      </w:pPr>
      <w:r>
        <w:t xml:space="preserve">[43] HØILAND-JØRGENSEN T., 2017. Flent  The FLExible Network Tester.</w:t>
      </w:r>
    </w:p>
    <w:p>
      <w:pPr>
        <w:spacing w:after="80" w:line="276"/>
        <w:ind w:left="567" w:hanging="567"/>
        <w:jc w:val="both"/>
      </w:pPr>
      <w:r>
        <w:t xml:space="preserve">[45] BLAND J. M., ALTMAN D. G., The Lancet, 1986. Statistical methods for assessing agreement between two methods of clinical measurement.</w:t>
      </w:r>
    </w:p>
    <w:p>
      <w:pPr>
        <w:spacing w:after="80" w:line="276"/>
        <w:ind w:left="567" w:hanging="567"/>
        <w:jc w:val="both"/>
      </w:pPr>
      <w:r>
        <w:t xml:space="preserve">[46] République de Madagascar, 2010. Arrêté n° 04.1492010-MESupReS relatif aux grades, titres et diplômes nationaux dans le système LMD.</w:t>
      </w:r>
    </w:p>
    <w:p>
      <w:pPr>
        <w:spacing w:after="80" w:line="276"/>
        <w:ind w:left="567" w:hanging="567"/>
        <w:jc w:val="both"/>
      </w:pPr>
      <w:r>
        <w:t xml:space="preserve">[47] République de Madagascar, 2008. Décret n° 2008-179 portant réforme du système d'enseignement supérieur et de recherche (LMD).</w:t>
      </w:r>
    </w:p>
    <w:p>
      <w:pPr>
        <w:spacing w:after="80" w:line="276"/>
        <w:ind w:left="567" w:hanging="567"/>
        <w:jc w:val="both"/>
      </w:pPr>
      <w:r>
        <w:t xml:space="preserve">[76] NIST, 2015. FIPS 180-4  Secure Hash Standard (SHA-256).</w:t>
      </w:r>
    </w:p>
    <w:p>
      <w:pPr>
        <w:pStyle w:val="Heading1"/>
        <w:pageBreakBefore/>
        <w:spacing w:after="360" w:before="0" w:line="360"/>
        <w:jc w:val="center"/>
      </w:pPr>
      <w:r>
        <w:t xml:space="preserve">RÉFÉRENCES WEBOGRAPHIQUES</w:t>
      </w:r>
    </w:p>
    <w:p>
      <w:pPr>
        <w:spacing w:after="0" w:line="360"/>
        <w:jc w:val="both"/>
      </w:pPr>
      <w:r>
        <w:t xml:space="preserve">Adresse URL, Titre du document, date de consultation.</w:t>
      </w:r>
    </w:p>
    <w:p>
      <w:pPr>
        <w:spacing w:after="80" w:line="276"/>
        <w:ind w:left="567" w:hanging="567"/>
        <w:jc w:val="both"/>
      </w:pPr>
      <w:r>
        <w:t xml:space="preserve">[1] httpsdatareportal.comreportsdigital-2026-madagascar, Digital 2026  Madagascar, juillet 2026.</w:t>
      </w:r>
    </w:p>
    <w:p>
      <w:pPr>
        <w:spacing w:after="80" w:line="276"/>
        <w:ind w:left="567" w:hanging="567"/>
        <w:jc w:val="both"/>
      </w:pPr>
      <w:r>
        <w:t xml:space="preserve">[2] httpstradingeconomics.commadagascarindividuals-using-the-internet-percent-of-population-wb-data.html, Individuals using the Internet (% of population), Banque Mondiale, juillet 2026.</w:t>
      </w:r>
    </w:p>
    <w:p>
      <w:pPr>
        <w:spacing w:after="80" w:line="276"/>
        <w:ind w:left="567" w:hanging="567"/>
        <w:jc w:val="both"/>
      </w:pPr>
      <w:r>
        <w:t xml:space="preserve">[3] httpsdatareportal.comdigital-in-madagascar, Digital in Madagascar, juillet 2026.</w:t>
      </w:r>
    </w:p>
    <w:p>
      <w:pPr>
        <w:spacing w:after="80" w:line="276"/>
        <w:ind w:left="567" w:hanging="567"/>
        <w:jc w:val="both"/>
      </w:pPr>
      <w:r>
        <w:t xml:space="preserve">[4] httpswww.speedtest.netglobal-indexmadagascar, Speedtest Global Index  Madagascar, Ookla, juillet 2026.</w:t>
      </w:r>
    </w:p>
    <w:p>
      <w:pPr>
        <w:spacing w:after="80" w:line="276"/>
        <w:ind w:left="567" w:hanging="567"/>
        <w:jc w:val="both"/>
      </w:pPr>
      <w:r>
        <w:t xml:space="preserve">[5] httpswww.agenceecofin.comactualites-numerique0707-139956-madagascar-les-deputes-appellent-a-l-extension-de-la-couverture-telecoms, Couverture 4G à Madagascar, Agence Ecofin  UIT, juillet 2026.</w:t>
      </w:r>
    </w:p>
    <w:p>
      <w:pPr>
        <w:spacing w:after="80" w:line="276"/>
        <w:ind w:left="567" w:hanging="567"/>
        <w:jc w:val="both"/>
      </w:pPr>
      <w:r>
        <w:t xml:space="preserve">[6] httpsfr.wikipedia.orgwikiMETISS, METISS, juillet 2026.</w:t>
      </w:r>
    </w:p>
    <w:p>
      <w:pPr>
        <w:spacing w:after="80" w:line="276"/>
        <w:ind w:left="567" w:hanging="567"/>
        <w:jc w:val="both"/>
      </w:pPr>
      <w:r>
        <w:t xml:space="preserve">[7] httpsceb.mufilesfilesCommuniqueMISE%20EN%20SERVICE%20DU%20CABLE%20METISS.pdf, Mise en service du câble METISS, CEB Maurice, juillet 2026.</w:t>
      </w:r>
    </w:p>
    <w:p>
      <w:pPr>
        <w:spacing w:after="80" w:line="276"/>
        <w:ind w:left="567" w:hanging="567"/>
        <w:jc w:val="both"/>
      </w:pPr>
      <w:r>
        <w:t xml:space="preserve">[8] httpswww.madagascarnewsroom.com202412madagascar-cables-sous-marins--t4.html, Câbles sous-marins à Madagascar, juillet 2026.</w:t>
      </w:r>
    </w:p>
    <w:p>
      <w:pPr>
        <w:spacing w:after="80" w:line="276"/>
        <w:ind w:left="567" w:hanging="567"/>
        <w:jc w:val="both"/>
      </w:pPr>
      <w:r>
        <w:t xml:space="preserve">[9] httpswww.connectingafrica.comconnectivity2africa-reaches-the-shores-of-madagascar, 2Africa reaches the shores of Madagascar, juillet 2026.</w:t>
      </w:r>
    </w:p>
    <w:p>
      <w:pPr>
        <w:spacing w:after="80" w:line="276"/>
        <w:ind w:left="567" w:hanging="567"/>
        <w:jc w:val="both"/>
      </w:pPr>
      <w:r>
        <w:t xml:space="preserve">[10] httpswww.axian-telecom.comcirdowee202302AXIAN-Telecom-Press-release-2Africa-landing-in-Madagascar-VA.pdf, Atterrissement 2Africa à Mahajanga, Axian Telecom, juillet 2026.</w:t>
      </w:r>
    </w:p>
    <w:p>
      <w:pPr>
        <w:spacing w:after="80" w:line="276"/>
        <w:ind w:left="567" w:hanging="567"/>
        <w:jc w:val="both"/>
      </w:pPr>
      <w:r>
        <w:t xml:space="preserve">[11] httpsstarlink.commgresidential, Starlink Madagascar  offre Résidentiel, juillet 2026.</w:t>
      </w:r>
    </w:p>
    <w:p>
      <w:pPr>
        <w:spacing w:after="80" w:line="276"/>
        <w:ind w:left="567" w:hanging="567"/>
        <w:jc w:val="both"/>
      </w:pPr>
      <w:r>
        <w:t xml:space="preserve">[12] httpswww.connectingafrica.combroadbandstarlink-beams-into-madagascar, Starlink beams into Madagascar, juillet 2026.</w:t>
      </w:r>
    </w:p>
    <w:p>
      <w:pPr>
        <w:spacing w:after="80" w:line="276"/>
        <w:ind w:left="567" w:hanging="567"/>
        <w:jc w:val="both"/>
      </w:pPr>
      <w:r>
        <w:t xml:space="preserve">[13] httpsstarlink.commgservice-plans, Starlink Madagascar  forfaits, juillet 2026.</w:t>
      </w:r>
    </w:p>
    <w:p>
      <w:pPr>
        <w:spacing w:after="80" w:line="276"/>
        <w:ind w:left="567" w:hanging="567"/>
        <w:jc w:val="both"/>
      </w:pPr>
      <w:r>
        <w:t xml:space="preserve">[14] httpswww.moov.mgactualite103006-starlink-a-madagascar-des-nouveaux-tarifs-font-debat, Tarifs Starlink à Madagascar, juillet 2026.</w:t>
      </w:r>
    </w:p>
    <w:p>
      <w:pPr>
        <w:spacing w:after="80" w:line="276"/>
        <w:ind w:left="567" w:hanging="567"/>
        <w:jc w:val="both"/>
      </w:pPr>
      <w:r>
        <w:t xml:space="preserve">[15] https2424.mginternet-starlink-lance-un-forfait-a-136-000-ariary-avec-le-kit-mini-dish, Forfait Starlink et kit mini dish, juillet 2026.</w:t>
      </w:r>
    </w:p>
    <w:p>
      <w:pPr>
        <w:spacing w:after="80" w:line="276"/>
        <w:ind w:left="567" w:hanging="567"/>
        <w:jc w:val="both"/>
      </w:pPr>
      <w:r>
        <w:t xml:space="preserve">[16] httpswww.jirama.mgcommuniques, Communiqués et prévisions de coupures, JIRAMA, juillet 2026.</w:t>
      </w:r>
    </w:p>
    <w:p>
      <w:pPr>
        <w:spacing w:after="80" w:line="276"/>
        <w:ind w:left="567" w:hanging="567"/>
        <w:jc w:val="both"/>
      </w:pPr>
      <w:r>
        <w:t xml:space="preserve">[17] httpswww.rfi.frfrafrique20250610-madagascar-a-antananarivo-lassitude-et-debrouillardise-de-commercants-face-aux-delestages, Délestages à Antananarivo, RFI, juillet 2026.</w:t>
      </w:r>
    </w:p>
    <w:p>
      <w:pPr>
        <w:spacing w:after="80" w:line="276"/>
        <w:ind w:left="567" w:hanging="567"/>
        <w:jc w:val="both"/>
      </w:pPr>
      <w:r>
        <w:t xml:space="preserve">[18] httpswww.lexpress.mg202506electricite-la-jirama-annonce-une.html, Intensification du délestage, L'Express de Madagascar, juillet 2026.</w:t>
      </w:r>
    </w:p>
    <w:p>
      <w:pPr>
        <w:spacing w:after="80" w:line="276"/>
        <w:ind w:left="567" w:hanging="567"/>
        <w:jc w:val="both"/>
      </w:pPr>
      <w:r>
        <w:t xml:space="preserve">[19] httpswww.studiosifaka.orgarticlesactualitesitem8161-banque-mondiale-madagascar-face-a-un-risque-de-coupure-d-electricite-accrue-en-2025-et-2026.html, Risque de coupures accru 2025-2026, Banque Mondiale, juillet 2026.</w:t>
      </w:r>
    </w:p>
    <w:p>
      <w:pPr>
        <w:spacing w:after="80" w:line="276"/>
        <w:ind w:left="567" w:hanging="567"/>
        <w:jc w:val="both"/>
      </w:pPr>
      <w:r>
        <w:t xml:space="preserve">[20] httpswww.artec.mgartec-madagascar-regulation-telecoms-et-tic-a-propos, À propos de l'ARTEC, juillet 2026.</w:t>
      </w:r>
    </w:p>
    <w:p>
      <w:pPr>
        <w:spacing w:after="80" w:line="276"/>
        <w:ind w:left="567" w:hanging="567"/>
        <w:jc w:val="both"/>
      </w:pPr>
      <w:r>
        <w:t xml:space="preserve">[21] httpswww.artec.mgobservatoirechiffre.php, Observatoire du marché, ARTEC, juillet 2026.</w:t>
      </w:r>
    </w:p>
    <w:p>
      <w:pPr>
        <w:spacing w:after="80" w:line="276"/>
        <w:ind w:left="567" w:hanging="567"/>
        <w:jc w:val="both"/>
      </w:pPr>
      <w:r>
        <w:t xml:space="preserve">[22] httpswww.artec.mgobservatoireinfrastructure.php, Observatoire des infrastructures, ARTEC, juillet 2026.</w:t>
      </w:r>
    </w:p>
    <w:p>
      <w:pPr>
        <w:spacing w:after="80" w:line="276"/>
        <w:ind w:left="567" w:hanging="567"/>
        <w:jc w:val="both"/>
      </w:pPr>
      <w:r>
        <w:t xml:space="preserve">[23] httpswww.fratel.orgdocuments201906questionnaire-FRATEL-couverture-et-QoS-mobile-ARTEC-Madagascar.pdf, Questionnaire couverture et QoS mobile, FRATEL  ARTEC, juillet 2026.</w:t>
      </w:r>
    </w:p>
    <w:p>
      <w:pPr>
        <w:spacing w:after="80" w:line="276"/>
        <w:ind w:left="567" w:hanging="567"/>
        <w:jc w:val="both"/>
      </w:pPr>
      <w:r>
        <w:t xml:space="preserve">[24] httpswww.artec.mgmateriels-et-revendeurs-agrees, Matériels homologués et revendeurs agréés, ARTEC, juillet 2026.</w:t>
      </w:r>
    </w:p>
    <w:p>
      <w:pPr>
        <w:spacing w:after="80" w:line="276"/>
        <w:ind w:left="567" w:hanging="567"/>
        <w:jc w:val="both"/>
      </w:pPr>
      <w:r>
        <w:t xml:space="preserve">[25] httpscertibridge.mgservicesrf-homologation-servicesartec, Homologation RF ARTEC, juillet 2026.</w:t>
      </w:r>
    </w:p>
    <w:p>
      <w:pPr>
        <w:spacing w:after="80" w:line="276"/>
        <w:ind w:left="567" w:hanging="567"/>
        <w:jc w:val="both"/>
      </w:pPr>
      <w:r>
        <w:t xml:space="preserve">[26] République de Madagascar, 2015. Loi n° 2014-038 du 9 janvier 2015 sur la protection des données à caractère personnel.</w:t>
      </w:r>
    </w:p>
    <w:p>
      <w:pPr>
        <w:spacing w:after="80" w:line="276"/>
        <w:ind w:left="567" w:hanging="567"/>
        <w:jc w:val="both"/>
      </w:pPr>
      <w:r>
        <w:t xml:space="preserve">[27] httpswww.dlapiperdataprotection.comindex.htmlt=law&amp;c=MG, Data protection laws in Madagascar, DLA Piper, juillet 2026.</w:t>
      </w:r>
    </w:p>
    <w:p>
      <w:pPr>
        <w:spacing w:after="80" w:line="276"/>
        <w:ind w:left="567" w:hanging="567"/>
        <w:jc w:val="both"/>
      </w:pPr>
      <w:r>
        <w:t xml:space="preserve">[28] httpswww.pic.commerce.mgfrautorite-de-regulation-des-technologies-de-communication-artec, Missions de l'ARTEC, juillet 2026.</w:t>
      </w:r>
    </w:p>
    <w:p>
      <w:pPr>
        <w:spacing w:after="80" w:line="276"/>
        <w:ind w:left="567" w:hanging="567"/>
        <w:jc w:val="both"/>
      </w:pPr>
      <w:r>
        <w:t xml:space="preserve">[44] httpsflent.org, Flent  The FLExible Network Tester, juillet 2026.</w:t>
      </w:r>
    </w:p>
    <w:p>
      <w:pPr>
        <w:spacing w:after="80" w:line="276"/>
        <w:ind w:left="567" w:hanging="567"/>
        <w:jc w:val="both"/>
      </w:pPr>
      <w:r>
        <w:t xml:space="preserve">[48] httpsiperf.fr, iperf3, juillet 2026.</w:t>
      </w:r>
    </w:p>
    <w:p>
      <w:pPr>
        <w:spacing w:after="80" w:line="276"/>
        <w:ind w:left="567" w:hanging="567"/>
        <w:jc w:val="both"/>
      </w:pPr>
      <w:r>
        <w:t xml:space="preserve">[49] httpsman7.orglinuxman-pagesman8tc-netem.8.html, tc-netem(8), juillet 2026.</w:t>
      </w:r>
    </w:p>
    <w:p>
      <w:pPr>
        <w:spacing w:after="80" w:line="276"/>
        <w:ind w:left="567" w:hanging="567"/>
        <w:jc w:val="both"/>
      </w:pPr>
      <w:r>
        <w:t xml:space="preserve">[50] httpsman7.orglinuxman-pagesman8tc.8.html, tc(8), juillet 2026.</w:t>
      </w:r>
    </w:p>
    <w:p>
      <w:pPr>
        <w:spacing w:after="80" w:line="276"/>
        <w:ind w:left="567" w:hanging="567"/>
        <w:jc w:val="both"/>
      </w:pPr>
      <w:r>
        <w:t xml:space="preserve">[51] httpsman7.orglinuxman-pagesman8ip-netns.8.html, ip-netns(8), juillet 2026.</w:t>
      </w:r>
    </w:p>
    <w:p>
      <w:pPr>
        <w:spacing w:after="80" w:line="276"/>
        <w:ind w:left="567" w:hanging="567"/>
        <w:jc w:val="both"/>
      </w:pPr>
      <w:r>
        <w:t xml:space="preserve">[52] httpswww.tcpdump.org, tcpdump  libpcap, juillet 2026.</w:t>
      </w:r>
    </w:p>
    <w:p>
      <w:pPr>
        <w:spacing w:after="80" w:line="276"/>
        <w:ind w:left="567" w:hanging="567"/>
        <w:jc w:val="both"/>
      </w:pPr>
      <w:r>
        <w:t xml:space="preserve">[53] httpszenodo.org, Zenodo, juillet 2026.</w:t>
      </w:r>
    </w:p>
    <w:p>
      <w:pPr>
        <w:spacing w:after="80" w:line="276"/>
        <w:ind w:left="567" w:hanging="567"/>
        <w:jc w:val="both"/>
      </w:pPr>
      <w:r>
        <w:t xml:space="preserve">[54] httpsreleases.ubuntu.com24.04, Ubuntu 24.04 LTS, juillet 2026.</w:t>
      </w:r>
    </w:p>
    <w:p>
      <w:pPr>
        <w:spacing w:after="80" w:line="276"/>
        <w:ind w:left="567" w:hanging="567"/>
        <w:jc w:val="both"/>
      </w:pPr>
      <w:r>
        <w:t xml:space="preserve">[55] httpsgo.dev, Le langage Go, juillet 2026.</w:t>
      </w:r>
    </w:p>
    <w:p>
      <w:pPr>
        <w:spacing w:after="80" w:line="276"/>
        <w:ind w:left="567" w:hanging="567"/>
        <w:jc w:val="both"/>
      </w:pPr>
      <w:r>
        <w:t xml:space="preserve">[57] httpswww.bufferbloat.net, Bufferbloat.net, juillet 2026.</w:t>
      </w:r>
    </w:p>
    <w:p>
      <w:pPr>
        <w:spacing w:after="80" w:line="276"/>
        <w:ind w:left="567" w:hanging="567"/>
        <w:jc w:val="both"/>
      </w:pPr>
      <w:r>
        <w:t xml:space="preserve">[58] httpswww.wireshark.org, Wireshark, juillet 2026.</w:t>
      </w:r>
    </w:p>
    <w:p>
      <w:pPr>
        <w:spacing w:after="80" w:line="276"/>
        <w:ind w:left="567" w:hanging="567"/>
        <w:jc w:val="both"/>
      </w:pPr>
      <w:r>
        <w:t xml:space="preserve">[59] httpmahimahi.mit.edu, mahimahi, juillet 2026.</w:t>
      </w:r>
    </w:p>
    <w:p>
      <w:pPr>
        <w:spacing w:after="80" w:line="276"/>
        <w:ind w:left="567" w:hanging="567"/>
        <w:jc w:val="both"/>
      </w:pPr>
      <w:r>
        <w:t xml:space="preserve">[60] httpswww.nsnam.org, ns-3, juillet 2026.</w:t>
      </w:r>
    </w:p>
    <w:p>
      <w:pPr>
        <w:spacing w:after="80" w:line="276"/>
        <w:ind w:left="567" w:hanging="567"/>
        <w:jc w:val="both"/>
      </w:pPr>
      <w:r>
        <w:t xml:space="preserve">[61] httpswww.r-project.org, R, juillet 2026.</w:t>
      </w:r>
    </w:p>
    <w:p>
      <w:pPr>
        <w:spacing w:after="80" w:line="276"/>
        <w:ind w:left="567" w:hanging="567"/>
        <w:jc w:val="both"/>
      </w:pPr>
      <w:r>
        <w:t xml:space="preserve">[62] httpsscipy.org, SciPy, juillet 2026.</w:t>
      </w:r>
    </w:p>
    <w:p>
      <w:pPr>
        <w:spacing w:after="80" w:line="276"/>
        <w:ind w:left="567" w:hanging="567"/>
        <w:jc w:val="both"/>
      </w:pPr>
      <w:r>
        <w:t xml:space="preserve">[63] httpsgithub.comgonumplot, gonumplot, juillet 2026.</w:t>
      </w:r>
    </w:p>
    <w:p>
      <w:pPr>
        <w:spacing w:after="80" w:line="276"/>
        <w:ind w:left="567" w:hanging="567"/>
        <w:jc w:val="both"/>
      </w:pPr>
      <w:r>
        <w:t xml:space="preserve">[64] httpsgithub.comajstarkssvgo, svgo, juillet 2026.</w:t>
      </w:r>
    </w:p>
    <w:p>
      <w:pPr>
        <w:spacing w:after="80" w:line="276"/>
        <w:ind w:left="567" w:hanging="567"/>
        <w:jc w:val="both"/>
      </w:pPr>
      <w:r>
        <w:t xml:space="preserve">[65] httpsmatplotlib.org, matplotlib, juillet 2026.</w:t>
      </w:r>
    </w:p>
    <w:p>
      <w:pPr>
        <w:spacing w:after="80" w:line="276"/>
        <w:ind w:left="567" w:hanging="567"/>
        <w:jc w:val="both"/>
      </w:pPr>
      <w:r>
        <w:t xml:space="preserve">[66] httpsobservablehq.complot, Observable Plot, juillet 2026.</w:t>
      </w:r>
    </w:p>
    <w:p>
      <w:pPr>
        <w:spacing w:after="80" w:line="276"/>
        <w:ind w:left="567" w:hanging="567"/>
        <w:jc w:val="both"/>
      </w:pPr>
      <w:r>
        <w:t xml:space="preserve">[67] httpsvega.github.iovega-lite, Vega-Lite, juillet 2026.</w:t>
      </w:r>
    </w:p>
    <w:p>
      <w:pPr>
        <w:spacing w:after="80" w:line="276"/>
        <w:ind w:left="567" w:hanging="567"/>
        <w:jc w:val="both"/>
      </w:pPr>
      <w:r>
        <w:t xml:space="preserve">[68] httpsxtermjs.org, xterm.js, juillet 2026.</w:t>
      </w:r>
    </w:p>
    <w:p>
      <w:pPr>
        <w:spacing w:after="80" w:line="276"/>
        <w:ind w:left="567" w:hanging="567"/>
        <w:jc w:val="both"/>
      </w:pPr>
      <w:r>
        <w:t xml:space="preserve">[69] httpspkg.go.devembed, goembed, juillet 2026.</w:t>
      </w:r>
    </w:p>
    <w:p>
      <w:pPr>
        <w:spacing w:after="80" w:line="276"/>
        <w:ind w:left="567" w:hanging="567"/>
        <w:jc w:val="both"/>
      </w:pPr>
      <w:r>
        <w:t xml:space="preserve">[70] httpsgrafana.com, Grafana, juillet 2026.</w:t>
      </w:r>
    </w:p>
    <w:p>
      <w:pPr>
        <w:spacing w:after="80" w:line="276"/>
        <w:ind w:left="567" w:hanging="567"/>
        <w:jc w:val="both"/>
      </w:pPr>
      <w:r>
        <w:t xml:space="preserve">[71] httpswww.netdata.cloud, netdata, juillet 2026.</w:t>
      </w:r>
    </w:p>
    <w:p>
      <w:pPr>
        <w:spacing w:after="80" w:line="276"/>
        <w:ind w:left="567" w:hanging="567"/>
        <w:jc w:val="both"/>
      </w:pPr>
      <w:r>
        <w:t xml:space="preserve">[72] httpswww.zabbix.com, Zabbix, juillet 2026.</w:t>
      </w:r>
    </w:p>
    <w:p>
      <w:pPr>
        <w:spacing w:after="80" w:line="276"/>
        <w:ind w:left="567" w:hanging="567"/>
        <w:jc w:val="both"/>
      </w:pPr>
      <w:r>
        <w:t xml:space="preserve">[73] httpswww.nagios.org, Nagios, juillet 2026.</w:t>
      </w:r>
    </w:p>
    <w:p>
      <w:pPr>
        <w:spacing w:after="80" w:line="276"/>
        <w:ind w:left="567" w:hanging="567"/>
        <w:jc w:val="both"/>
      </w:pPr>
      <w:r>
        <w:t xml:space="preserve">[74] httpsgithub.comiputilsiputils, iputils (ping), juillet 2026.</w:t>
      </w:r>
    </w:p>
    <w:p>
      <w:pPr>
        <w:spacing w:after="80" w:line="276"/>
        <w:ind w:left="567" w:hanging="567"/>
        <w:jc w:val="both"/>
      </w:pPr>
      <w:r>
        <w:t xml:space="preserve">[75] httpwww.hping.org, hping, juillet 2026.</w:t>
      </w:r>
    </w:p>
    <w:p>
      <w:pPr>
        <w:spacing w:after="80" w:line="276"/>
        <w:ind w:left="567" w:hanging="567"/>
        <w:jc w:val="both"/>
      </w:pPr>
      <w:r>
        <w:t xml:space="preserve">[77] httpsman7.orglinuxman-pagesman8ip-route.8.html, ip-route(8), juillet 2026.</w:t>
      </w:r>
    </w:p>
    <w:p>
      <w:pPr>
        <w:spacing w:after="80" w:line="276"/>
        <w:ind w:left="567" w:hanging="567"/>
        <w:jc w:val="both"/>
      </w:pPr>
      <w:r>
        <w:t xml:space="preserve">[78] httpsman7.orglinuxman-pagesman1taskset.1.html, taskset(1), juillet 2026.</w:t>
      </w:r>
    </w:p>
    <w:p>
      <w:pPr>
        <w:spacing w:after="80" w:line="276"/>
        <w:ind w:left="567" w:hanging="567"/>
        <w:jc w:val="both"/>
      </w:pPr>
      <w:r>
        <w:t xml:space="preserve">[79] httpsman7.orglinuxman-pagesman7socket.7.html, socket(7), juillet 2026.</w:t>
      </w:r>
    </w:p>
    <w:p>
      <w:pPr>
        <w:spacing w:after="80" w:line="276"/>
        <w:ind w:left="567" w:hanging="567"/>
        <w:jc w:val="both"/>
      </w:pPr>
      <w:r>
        <w:t xml:space="preserve">[80] httpswww.gnu.orgsoftwaremake, GNU Make, juillet 2026.</w:t>
      </w:r>
    </w:p>
    <w:p>
      <w:pPr>
        <w:spacing w:after="80" w:line="276"/>
        <w:ind w:left="567" w:hanging="567"/>
        <w:jc w:val="both"/>
      </w:pPr>
      <w:r>
        <w:t xml:space="preserve">[81] httpsgit-scm.com, git, juillet 2026.</w:t>
      </w:r>
    </w:p>
    <w:p>
      <w:pPr>
        <w:pStyle w:val="Heading1"/>
        <w:pageBreakBefore/>
        <w:spacing w:after="360" w:before="0" w:line="360"/>
        <w:jc w:val="center"/>
      </w:pPr>
      <w:r>
        <w:t xml:space="preserve">GLOSSAIRE</w:t>
      </w:r>
    </w:p>
    <w:p>
      <w:pPr>
        <w:spacing w:after="80" w:line="276"/>
        <w:ind w:left="454" w:hanging="454"/>
        <w:jc w:val="both"/>
      </w:pPr>
      <w:r>
        <w:rPr>
          <w:i/>
          <w:iCs/>
        </w:rPr>
        <w:t xml:space="preserve">Bufferbloat : </w:t>
      </w:r>
      <w:r>
        <w:t xml:space="preserve">dégradation de la performance causée par l'accumulation persistante de paquets dans des files d'attente surdimensionnées, qui ajoute du délai sans perte visible.</w:t>
      </w:r>
    </w:p>
    <w:p>
      <w:pPr>
        <w:spacing w:after="80" w:line="276"/>
        <w:ind w:left="454" w:hanging="454"/>
        <w:jc w:val="both"/>
      </w:pPr>
      <w:r>
        <w:rPr>
          <w:i/>
          <w:iCs/>
        </w:rPr>
        <w:t xml:space="preserve">AQM (Active Queue Management) : </w:t>
      </w:r>
      <w:r>
        <w:t xml:space="preserve">famille de disciplines de file qui régulent le délai d'attente plutôt que le seul abandon de paquets.</w:t>
      </w:r>
    </w:p>
    <w:p>
      <w:pPr>
        <w:spacing w:after="80" w:line="276"/>
        <w:ind w:left="454" w:hanging="454"/>
        <w:jc w:val="both"/>
      </w:pPr>
      <w:r>
        <w:rPr>
          <w:i/>
          <w:iCs/>
        </w:rPr>
        <w:t xml:space="preserve">CoDel : </w:t>
      </w:r>
      <w:r>
        <w:t xml:space="preserve">algorithme de gestion active de file qui abandonne les paquets lorsque la file reste au-dessus d'une cible de délai pendant un intervalle donné.</w:t>
      </w:r>
    </w:p>
    <w:p>
      <w:pPr>
        <w:spacing w:after="80" w:line="276"/>
        <w:ind w:left="454" w:hanging="454"/>
        <w:jc w:val="both"/>
      </w:pPr>
      <w:r>
        <w:rPr>
          <w:i/>
          <w:iCs/>
        </w:rPr>
        <w:t xml:space="preserve">fq_codel : </w:t>
      </w:r>
      <w:r>
        <w:t xml:space="preserve">variante de CoDel à répartition par flux, réglage par défaut des noyaux Linux récents.</w:t>
      </w:r>
    </w:p>
    <w:p>
      <w:pPr>
        <w:spacing w:after="80" w:line="276"/>
        <w:ind w:left="454" w:hanging="454"/>
        <w:jc w:val="both"/>
      </w:pPr>
      <w:r>
        <w:rPr>
          <w:i/>
          <w:iCs/>
        </w:rPr>
        <w:t xml:space="preserve">TBF (Token Bucket Filter) : </w:t>
      </w:r>
      <w:r>
        <w:t xml:space="preserve">limiteur de débit à jeton du noyau Linux (pkg/qdisc/).</w:t>
      </w:r>
    </w:p>
    <w:p>
      <w:pPr>
        <w:spacing w:after="80" w:line="276"/>
        <w:ind w:left="454" w:hanging="454"/>
        <w:jc w:val="both"/>
      </w:pPr>
      <w:r>
        <w:rPr>
          <w:i/>
          <w:iCs/>
        </w:rPr>
        <w:t xml:space="preserve">netem : </w:t>
      </w:r>
      <w:r>
        <w:t xml:space="preserve">émulateur de lien du noyau Linux (délai, gigue, perte).</w:t>
      </w:r>
    </w:p>
    <w:p>
      <w:pPr>
        <w:spacing w:after="80" w:line="276"/>
        <w:ind w:left="454" w:hanging="454"/>
        <w:jc w:val="both"/>
      </w:pPr>
      <w:r>
        <w:rPr>
          <w:i/>
          <w:iCs/>
        </w:rPr>
        <w:t xml:space="preserve">Oracle : </w:t>
      </w:r>
      <w:r>
        <w:t xml:space="preserve">source de vérité terrain lue directement dans le noyau (compteurs tc -s, plan de l'ordonnanceur), indépendante du pipeline de mesure.</w:t>
      </w:r>
    </w:p>
    <w:p>
      <w:pPr>
        <w:spacing w:after="80" w:line="276"/>
        <w:ind w:left="454" w:hanging="454"/>
        <w:jc w:val="both"/>
      </w:pPr>
      <w:r>
        <w:rPr>
          <w:i/>
          <w:iCs/>
        </w:rPr>
        <w:t xml:space="preserve">Vérité terrain : </w:t>
      </w:r>
      <w:r>
        <w:t xml:space="preserve">valeur correcte par construction (instant d'événement, capacité imposée) contre laquelle détecteurs et sondes sont notés.</w:t>
      </w:r>
    </w:p>
    <w:p>
      <w:pPr>
        <w:spacing w:after="80" w:line="276"/>
        <w:ind w:left="454" w:hanging="454"/>
        <w:jc w:val="both"/>
      </w:pPr>
      <w:r>
        <w:rPr>
          <w:i/>
          <w:iCs/>
        </w:rPr>
        <w:t xml:space="preserve">Onset : </w:t>
      </w:r>
      <w:r>
        <w:t xml:space="preserve">événement de congestion, ici daté par construction car programmé par l'ordonnanceur.</w:t>
      </w:r>
    </w:p>
    <w:p>
      <w:pPr>
        <w:spacing w:after="80" w:line="276"/>
        <w:ind w:left="454" w:hanging="454"/>
        <w:jc w:val="both"/>
      </w:pPr>
      <w:r>
        <w:rPr>
          <w:i/>
          <w:iCs/>
        </w:rPr>
        <w:t xml:space="preserve">K-S (Kolmogorov-Smirnov) : </w:t>
      </w:r>
      <w:r>
        <w:t xml:space="preserve">test statistique non paramétrique comparant deux distributions, sensible aux changements de forme avant les changements de moyenne (pkg/detect/ks.go).</w:t>
      </w:r>
    </w:p>
    <w:p>
      <w:pPr>
        <w:spacing w:after="80" w:line="276"/>
        <w:ind w:left="454" w:hanging="454"/>
        <w:jc w:val="both"/>
      </w:pPr>
      <w:r>
        <w:rPr>
          <w:i/>
          <w:iCs/>
        </w:rPr>
        <w:t xml:space="preserve">EWMA (Exponentially Weighted Moving Average) : </w:t>
      </w:r>
      <w:r>
        <w:t xml:space="preserve">moyenne mobile exponentielle, détecteur à limite de contrôle utilisant un facteur de lissage alpha (pkg/detect/ewma.go).</w:t>
      </w:r>
    </w:p>
    <w:p>
      <w:pPr>
        <w:spacing w:after="80" w:line="276"/>
        <w:ind w:left="454" w:hanging="454"/>
        <w:jc w:val="both"/>
      </w:pPr>
      <w:r>
        <w:rPr>
          <w:i/>
          <w:iCs/>
        </w:rPr>
        <w:t xml:space="preserve">RTT (Round-Trip Time) : </w:t>
      </w:r>
      <w:r>
        <w:t xml:space="preserve">temps d'aller-retour d'un paquet entre l'émetteur et le récepteur.</w:t>
      </w:r>
    </w:p>
    <w:p>
      <w:pPr>
        <w:spacing w:after="80" w:line="276"/>
        <w:ind w:left="454" w:hanging="454"/>
        <w:jc w:val="both"/>
      </w:pPr>
      <w:r>
        <w:rPr>
          <w:i/>
          <w:iCs/>
        </w:rPr>
        <w:t xml:space="preserve">QDI (Queue Delay Impairment) : </w:t>
      </w:r>
      <w:r>
        <w:t xml:space="preserve">dégradation de délai de file, en millisecondes, par rapport à une référence sans charge.</w:t>
      </w:r>
    </w:p>
    <w:p>
      <w:pPr>
        <w:spacing w:after="80" w:line="276"/>
        <w:ind w:left="454" w:hanging="454"/>
        <w:jc w:val="both"/>
      </w:pPr>
      <w:r>
        <w:rPr>
          <w:i/>
          <w:iCs/>
        </w:rPr>
        <w:t xml:space="preserve">TTB (Time To Backlog) : </w:t>
      </w:r>
      <w:r>
        <w:t xml:space="preserve">temps de constitution de la file après le début de la congestion.</w:t>
      </w:r>
    </w:p>
    <w:p>
      <w:pPr>
        <w:spacing w:after="80" w:line="276"/>
        <w:ind w:left="454" w:hanging="454"/>
        <w:jc w:val="both"/>
      </w:pPr>
      <w:r>
        <w:rPr>
          <w:i/>
          <w:iCs/>
        </w:rPr>
        <w:t xml:space="preserve">LFI (Lightweight Fairness Index) : </w:t>
      </w:r>
      <w:r>
        <w:t xml:space="preserve">indice d'équité de lien, métrique secondaire de répartition des flux.</w:t>
      </w:r>
    </w:p>
    <w:p>
      <w:pPr>
        <w:spacing w:after="80" w:line="276"/>
        <w:ind w:left="454" w:hanging="454"/>
        <w:jc w:val="both"/>
      </w:pPr>
      <w:r>
        <w:rPr>
          <w:i/>
          <w:iCs/>
        </w:rPr>
        <w:t xml:space="preserve">E-model : </w:t>
      </w:r>
      <w:r>
        <w:t xml:space="preserve">modèle de calcul de la qualité VoIP (ITU-T G.107), transforme délai et perte en score entre 1 et 5.</w:t>
      </w:r>
    </w:p>
    <w:p>
      <w:pPr>
        <w:spacing w:after="80" w:line="276"/>
        <w:ind w:left="454" w:hanging="454"/>
        <w:jc w:val="both"/>
      </w:pPr>
      <w:r>
        <w:rPr>
          <w:i/>
          <w:iCs/>
        </w:rPr>
        <w:t xml:space="preserve">Quarantaine : </w:t>
      </w:r>
      <w:r>
        <w:t xml:space="preserve">mise à l'écart d'un événement dont la réconciliation ou la plausibilité échoue, consignée avec sa raison et comptabilisée.</w:t>
      </w:r>
    </w:p>
    <w:p>
      <w:pPr>
        <w:spacing w:after="80" w:line="276"/>
        <w:ind w:left="454" w:hanging="454"/>
        <w:jc w:val="both"/>
      </w:pPr>
      <w:r>
        <w:rPr>
          <w:i/>
          <w:iCs/>
        </w:rPr>
        <w:t xml:space="preserve">Re-pointage (rescore) : </w:t>
      </w:r>
      <w:r>
        <w:t xml:space="preserve">réexécution hors ligne et déterministe de tous les détecteurs sur une série gelée (make rescore).</w:t>
      </w:r>
    </w:p>
    <w:p>
      <w:pPr>
        <w:spacing w:after="80" w:line="276"/>
        <w:ind w:left="454" w:hanging="454"/>
        <w:jc w:val="both"/>
      </w:pPr>
      <w:r>
        <w:rPr>
          <w:i/>
          <w:iCs/>
        </w:rPr>
        <w:t xml:space="preserve">Pré-enregistrement : </w:t>
      </w:r>
      <w:r>
        <w:t xml:space="preserve">consignation horodatée des hypothèses, marges et règles d'analyse avant toute campagne (make preregister).</w:t>
      </w:r>
    </w:p>
    <w:p>
      <w:pPr>
        <w:spacing w:after="80" w:line="276"/>
        <w:ind w:left="454" w:hanging="454"/>
        <w:jc w:val="both"/>
      </w:pPr>
      <w:r>
        <w:rPr>
          <w:i/>
          <w:iCs/>
        </w:rPr>
        <w:t xml:space="preserve">Manifeste : </w:t>
      </w:r>
      <w:r>
        <w:t xml:space="preserve">fichier chaînant par hachages SHA-256 tous les artefacts d'une campagne.</w:t>
      </w:r>
    </w:p>
    <w:p>
      <w:pPr>
        <w:spacing w:after="80" w:line="276"/>
        <w:ind w:left="454" w:hanging="454"/>
        <w:jc w:val="both"/>
      </w:pPr>
      <w:r>
        <w:rPr>
          <w:i/>
          <w:iCs/>
        </w:rPr>
        <w:t xml:space="preserve">veth : </w:t>
      </w:r>
      <w:r>
        <w:t xml:space="preserve">paire d'interfaces réseau virtuelles du noyau Linux reliant les espaces de noms.</w:t>
      </w:r>
    </w:p>
    <w:p>
      <w:pPr>
        <w:spacing w:after="80" w:line="276"/>
        <w:ind w:left="454" w:hanging="454"/>
        <w:jc w:val="both"/>
      </w:pPr>
      <w:r>
        <w:rPr>
          <w:i/>
          <w:iCs/>
        </w:rPr>
        <w:t xml:space="preserve">netns : </w:t>
      </w:r>
      <w:r>
        <w:t xml:space="preserve">espace de noms réseau du noyau Linux (ip-netns).</w:t>
      </w:r>
    </w:p>
    <w:p>
      <w:pPr>
        <w:spacing w:after="80" w:line="276"/>
        <w:ind w:left="454" w:hanging="454"/>
        <w:jc w:val="both"/>
      </w:pPr>
      <w:r>
        <w:rPr>
          <w:i/>
          <w:iCs/>
        </w:rPr>
        <w:t xml:space="preserve">ARMS (Adaptive Rate Management System) : </w:t>
      </w:r>
      <w:r>
        <w:t xml:space="preserve">système de bandit manchot implémenté dans pkg/adaptive/arms.go pour la sélection de stratégie de régulation.</w:t>
      </w:r>
    </w:p>
    <w:p>
      <w:pPr>
        <w:spacing w:after="80" w:line="276"/>
        <w:ind w:left="454" w:hanging="454"/>
        <w:jc w:val="both"/>
      </w:pPr>
      <w:r>
        <w:rPr>
          <w:i/>
          <w:iCs/>
        </w:rPr>
        <w:t xml:space="preserve">Détecteur à gradient : </w:t>
      </w:r>
      <w:r>
        <w:t xml:space="preserve">algorithme calculant la pente locale du RTT par régression linéaire sur une fenêtre de N échantillons (pkg/detect/gradient.go).</w:t>
      </w:r>
    </w:p>
    <w:p>
      <w:pPr>
        <w:spacing w:after="80" w:line="276"/>
        <w:ind w:left="454" w:hanging="454"/>
        <w:jc w:val="both"/>
      </w:pPr>
      <w:r>
        <w:rPr>
          <w:i/>
          <w:iCs/>
        </w:rPr>
        <w:t xml:space="preserve">Détecteur à seuil fixe : </w:t>
      </w:r>
      <w:r>
        <w:t xml:space="preserve">algorithme comparant chaque valeur de RTT à un seuil absolu configurable (pkg/detect/threshold.go).</w:t>
      </w:r>
    </w:p>
    <w:p>
      <w:pPr>
        <w:spacing w:after="80" w:line="276"/>
        <w:ind w:left="454" w:hanging="454"/>
        <w:jc w:val="both"/>
      </w:pPr>
      <w:r>
        <w:rPr>
          <w:i/>
          <w:iCs/>
        </w:rPr>
        <w:t xml:space="preserve">Détecteur z-score : </w:t>
      </w:r>
      <w:r>
        <w:t xml:space="preserve">algorithme normalisant le RTT courant par la médiane et l'écart absolu médian d'une fenêtre glissante.</w:t>
      </w:r>
    </w:p>
    <w:p>
      <w:pPr>
        <w:spacing w:after="80" w:line="276"/>
        <w:ind w:left="454" w:hanging="454"/>
        <w:jc w:val="both"/>
      </w:pPr>
      <w:r>
        <w:rPr>
          <w:i/>
          <w:iCs/>
        </w:rPr>
        <w:t xml:space="preserve">Détecteur de différence de débit (Bandwidth-Rate Diff) : </w:t>
      </w:r>
      <w:r>
        <w:t xml:space="preserve">algorithme comparant l'estimation de bande passante au débit attendu (pkg/detect/baddrd.go).</w:t>
      </w:r>
    </w:p>
    <w:p>
      <w:pPr>
        <w:spacing w:after="80" w:line="276"/>
        <w:ind w:left="454" w:hanging="454"/>
        <w:jc w:val="both"/>
      </w:pPr>
      <w:r>
        <w:rPr>
          <w:i/>
          <w:iCs/>
        </w:rPr>
        <w:t xml:space="preserve">Journal des décisions (Decision Log) : </w:t>
      </w:r>
      <w:r>
        <w:t xml:space="preserve">enregistrement horodaté de chaque action du contrôleur, avec condition, raison et résultat (pkg/api/decision_log.go).</w:t>
      </w:r>
    </w:p>
    <w:p>
      <w:pPr>
        <w:spacing w:after="80" w:line="276"/>
        <w:ind w:left="454" w:hanging="454"/>
        <w:jc w:val="both"/>
      </w:pPr>
      <w:r>
        <w:rPr>
          <w:i/>
          <w:iCs/>
        </w:rPr>
        <w:t xml:space="preserve">Sondes (Probes) : </w:t>
      </w:r>
      <w:r>
        <w:t xml:space="preserve">points de terminaison HTTP de vérification de l'état du système (pkg/api/probes.go).</w:t>
      </w:r>
    </w:p>
    <w:p>
      <w:pPr>
        <w:spacing w:after="80" w:line="276"/>
        <w:ind w:left="454" w:hanging="454"/>
        <w:jc w:val="both"/>
      </w:pPr>
      <w:r>
        <w:rPr>
          <w:i/>
          <w:iCs/>
        </w:rPr>
        <w:t xml:space="preserve">Contrôles de sécurité (Safety Controls) : </w:t>
      </w:r>
      <w:r>
        <w:t xml:space="preserve">mécanismes de validation des changements avant application (pkg/api/safety.go).</w:t>
      </w:r>
    </w:p>
    <w:p>
      <w:pPr>
        <w:pStyle w:val="Heading1"/>
        <w:pageBreakBefore/>
        <w:spacing w:after="360" w:before="0" w:line="360"/>
        <w:jc w:val="center"/>
      </w:pPr>
      <w:r>
        <w:t xml:space="preserve">ANNEXES</w:t>
      </w:r>
    </w:p>
    <w:p>
      <w:pPr>
        <w:pStyle w:val="Heading2"/>
        <w:keepNext/>
        <w:spacing w:after="200" w:before="360" w:line="360"/>
      </w:pPr>
      <w:r>
        <w:t xml:space="preserve">Annexe A. Commandes de l'instrument</w:t>
      </w:r>
    </w:p>
    <w:p>
      <w:pPr>
        <w:spacing w:after="0" w:line="360"/>
        <w:ind w:firstLine="709"/>
        <w:jc w:val="both"/>
      </w:pPr>
      <w:r>
        <w:t xml:space="preserve">Le cycle de vie complet de l'instrument est piloté par GNU Make [80]. Le </w:t>
      </w:r>
      <w:r>
        <w:t xml:space="preserve">Tableau </w:t>
      </w:r>
      <w:fldSimple w:instr="REF RefTab_annexeCmd \h">
        <w:r>
          <w:t xml:space="preserve">0</w:t>
        </w:r>
      </w:fldSimple>
      <w:r>
        <w:t xml:space="preserve"> recense les commandes disponibles, de la construction du binaire à la régénération des figures depuis les données gelées.</w:t>
      </w:r>
    </w:p>
    <w:p>
      <w:pPr>
        <w:keepNext/>
        <w:spacing w:after="60" w:before="240" w:line="276"/>
        <w:jc w:val="center"/>
      </w:pPr>
      <w:r>
        <w:rPr>
          <w:i/>
          <w:iCs/>
          <w:sz w:val="22"/>
          <w:szCs w:val="22"/>
        </w:rPr>
        <w:t xml:space="preserve">Tableau </w:t>
      </w:r>
      <w:bookmarkStart w:name="RefTab_annexeCmd" w:id="1"/>
      <w:fldSimple w:instr="SEQ Tableau \* ARABIC">
        <w:r>
          <w:t xml:space="preserve">0</w:t>
        </w:r>
      </w:fldSimple>
      <w:bookmarkEnd w:id="1"/>
      <w:r>
        <w:rPr>
          <w:i/>
          <w:iCs/>
          <w:sz w:val="22"/>
          <w:szCs w:val="22"/>
        </w:rPr>
        <w:t xml:space="preserve"> – Commandes Makefile de l'instrument CGO.</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Commande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Description</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build</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construction du binaire statique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test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suite de tests unitaires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test-linux</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suite de tests spécifique Linux (netlink, qdisc)</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figures</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régénération de toutes les figures depuis les CSV gelés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demo-up</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démonstration locale avec interface web</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verify</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réconciliation double canal (oracle vs ping)</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negctl</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contrôles négatifs NC-1, NC-2, NC-3 (doivent échouer)</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preregister</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versement du pré-enregistrement horodaté</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offline-kit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export du kit hors ligne pour soutenance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disk-check</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vérification de l’enveloppe de stockage (~8 Go)</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rescore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re-pointage déterministe de tous les détecteurs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make sweep</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optimisation paramétrique par balayage systématique</w:t>
            </w:r>
          </w:p>
        </w:tc>
      </w:tr>
    </w:tbl>
    <w:p>
      <w:pPr>
        <w:spacing w:after="240" w:line="240"/>
      </w:pPr>
    </w:p>
    <w:p>
      <w:pPr>
        <w:spacing w:after="0" w:line="360"/>
        <w:ind w:firstLine="709"/>
        <w:jc w:val="both"/>
      </w:pPr>
      <w:r>
        <w:t xml:space="preserve">Le binaire accepte les options suivantes : --e1 (expérience E1), --e3 (expérience E3), --sweep (balayage paramétrique), --serve (serveur HTTP embarqué), --dry-run (simulation sans action), --negctl (contrôles négatifs), --preregister (pré-enregistrement), --reallink (bras 4G réel) et --demo (démonstration locale).</w:t>
      </w:r>
    </w:p>
    <w:p>
      <w:pPr>
        <w:spacing w:after="0" w:line="360"/>
        <w:ind w:firstLine="709"/>
        <w:jc w:val="both"/>
      </w:pPr>
      <w:r>
        <w:t xml:space="preserve">L'épinglage CPU est assuré par le script deploy/taskset.sh : le processeur 0 est dédié au flux de données, au sondeur et au rejoueur ; le processeur 1 est dédié à ping, iperf3, tcpdump et au pointage. Cet épinglage garantit que les processus de mesure ne perturbent pas la génération de trafic.</w:t>
      </w:r>
    </w:p>
    <w:p>
      <w:pPr>
        <w:pStyle w:val="Heading2"/>
        <w:keepNext/>
        <w:spacing w:after="200" w:before="360" w:line="360"/>
      </w:pPr>
      <w:r>
        <w:t xml:space="preserve">Annexe B. Schémas de données complets</w:t>
      </w:r>
    </w:p>
    <w:p>
      <w:pPr>
        <w:spacing w:after="0" w:line="360"/>
        <w:ind w:firstLine="709"/>
        <w:jc w:val="both"/>
      </w:pPr>
      <w:r>
        <w:t xml:space="preserve">Le fichier e1onsets.csv contient les colonnes suivantes : onsetid (identifiant unique), family (échelon, rampe, effondrement), context (contexte réseau), profile (profil de lien), netemrttms (RTT configuré par netem), scheduledts (horodatage programmé), ratebeforembps (débit avant événement), rateaftermbps (débit après événement), ramps (pente de la rampe), detector (nom du détecteur), channel (ping5hz ou tcpinfo1hz), rawlagms (délai brut mesuré), confirmedlagms (délai confirmé par oracle), falsepositive (booléen), missed (booléen), confirmsamples (nombre d'échantillons confirmés), seed (graine aléatoire).</w:t>
      </w:r>
    </w:p>
    <w:p>
      <w:pPr>
        <w:spacing w:after="0" w:line="360"/>
        <w:ind w:firstLine="709"/>
        <w:jc w:val="both"/>
      </w:pPr>
      <w:r>
        <w:t xml:space="preserve">Le fichier e3events.csv contient les colonnes historiques gelées (nombre vérifié au démarrage) auxquelles s'ajoutent : arm (bras de configuration), linkprofile (profil de lien), cc (contrôle de congestion), qdims (QDI en millisecondes), ttbbacklogms (TTB en millisecondes), voipjitterms (gigue VoIP), voiplosspct (taux de perte VoIP), wastedbytes (octets gaspillés en retransmissions), costarperh (coût par heure en ariary), cpuusagepct (utilisation CPU). Le champ CompositeScore est gelé à 0 ; le LFI est une métrique secondaire rapportée avec ses effectifs.</w:t>
      </w:r>
    </w:p>
    <w:p>
      <w:pPr>
        <w:spacing w:after="0" w:line="360"/>
        <w:ind w:firstLine="709"/>
        <w:jc w:val="both"/>
      </w:pPr>
      <w:r>
        <w:t xml:space="preserve">La table de réconciliation associe à chaque grandeur (RTT, débit, perte) : le canal A (pipeline interne), le canal B (instrument tiers : ping -D, iperf3), l'écart absolu, l'écart relatif, le seuil de tolérance et le verdict (conforme, suspect ou échec).</w:t>
      </w:r>
    </w:p>
    <w:p>
      <w:pPr>
        <w:spacing w:after="0" w:line="360"/>
        <w:ind w:firstLine="709"/>
        <w:jc w:val="both"/>
      </w:pPr>
      <w:r>
        <w:t xml:space="preserve">Le journal des décisions (pkg/api/decision_log.go) enregistre pour chaque action : timestamp (horodatage Unix), condition (métrique déclencheuse), discipline (qdisc appliqué), target_ms (cible en millisecondes), reason (raison textuelle), confidence (confiance entre 0 et 1), applied (booléen), revoked (booléen), rttms (RTT mesuré), lossrate (taux d'abandon), LFI (équité), bufferbloat (booléen), recovery_sec (secondes de récupération) et le taux d'utilisation du débit en pourcentage.</w:t>
      </w:r>
    </w:p>
    <w:p>
      <w:pPr>
        <w:spacing w:after="0" w:line="360"/>
        <w:ind w:firstLine="709"/>
        <w:jc w:val="both"/>
      </w:pPr>
      <w:r>
        <w:t xml:space="preserve">La configuration de l'API est générée et appliquée par deux modules : pkg/api/config_gen.go produit la configuration par défaut via GET /api/v1/config/default, et pkg/api/apply.go applique une configuration validée via POST /api/v1/config/apply. La validation (pkg/config/validation.go) vérifie les types, les plages, les champs requis et les dépendances croisées avant toute application.</w:t>
      </w:r>
    </w:p>
    <w:p>
      <w:pPr>
        <w:pStyle w:val="Heading2"/>
        <w:keepNext/>
        <w:spacing w:after="200" w:before="360" w:line="360"/>
      </w:pPr>
      <w:r>
        <w:t xml:space="preserve">Annexe C. Registre des risques</w:t>
      </w:r>
    </w:p>
    <w:p>
      <w:pPr>
        <w:spacing w:after="0" w:line="360"/>
        <w:ind w:firstLine="709"/>
        <w:jc w:val="both"/>
      </w:pPr>
      <w:r>
        <w:t xml:space="preserve">Le </w:t>
      </w:r>
      <w:r>
        <w:t xml:space="preserve">Tableau </w:t>
      </w:r>
      <w:fldSimple w:instr="REF RefTab_annexeRisques \h">
        <w:r>
          <w:t xml:space="preserve">0</w:t>
        </w:r>
      </w:fldSimple>
      <w:r>
        <w:t xml:space="preserve"> présente le registre des risques constitué avant les campagnes, avec la probabilité, l'impact et l'atténuation prévue pour chacun.</w:t>
      </w:r>
    </w:p>
    <w:p>
      <w:pPr>
        <w:keepNext/>
        <w:spacing w:after="60" w:before="240" w:line="276"/>
        <w:jc w:val="center"/>
      </w:pPr>
      <w:r>
        <w:rPr>
          <w:i/>
          <w:iCs/>
          <w:sz w:val="22"/>
          <w:szCs w:val="22"/>
        </w:rPr>
        <w:t xml:space="preserve">Tableau </w:t>
      </w:r>
      <w:bookmarkStart w:name="RefTab_annexeRisques" w:id="1"/>
      <w:fldSimple w:instr="SEQ Tableau \* ARABIC">
        <w:r>
          <w:t xml:space="preserve">0</w:t>
        </w:r>
      </w:fldSimple>
      <w:bookmarkEnd w:id="1"/>
      <w:r>
        <w:rPr>
          <w:i/>
          <w:iCs/>
          <w:sz w:val="22"/>
          <w:szCs w:val="22"/>
        </w:rPr>
        <w:t xml:space="preserve"> – Registre des risques et mitigations.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gridCol w:w="100"/>
      </w:tblGrid>
      <w:tr>
        <w:trPr>
          <w:cantSplit/>
          <w:tblHeader/>
        </w:trPr>
        <w:tc>
          <w:tcPr>
            <w:tcW w:type="pct" w:w="32%"/>
            <w:shd w:fill="E7E6E6" w:val="clear"/>
            <w:tcMar>
              <w:top w:type="dxa" w:w="60"/>
              <w:left w:type="dxa" w:w="100"/>
              <w:bottom w:type="dxa" w:w="60"/>
              <w:right w:type="dxa" w:w="100"/>
            </w:tcMar>
            <w:vAlign w:val="center"/>
          </w:tcPr>
          <w:p>
            <w:pPr>
              <w:spacing w:after="0" w:line="240"/>
              <w:jc w:val="center"/>
            </w:pPr>
            <w:r>
              <w:rPr>
                <w:b/>
                <w:bCs/>
                <w:sz w:val="22"/>
                <w:szCs w:val="22"/>
              </w:rPr>
              <w:t xml:space="preserve">Risque</w:t>
            </w:r>
          </w:p>
        </w:tc>
        <w:tc>
          <w:tcPr>
            <w:tcW w:type="pct" w:w="14%"/>
            <w:shd w:fill="E7E6E6" w:val="clear"/>
            <w:tcMar>
              <w:top w:type="dxa" w:w="60"/>
              <w:left w:type="dxa" w:w="100"/>
              <w:bottom w:type="dxa" w:w="60"/>
              <w:right w:type="dxa" w:w="100"/>
            </w:tcMar>
            <w:vAlign w:val="center"/>
          </w:tcPr>
          <w:p>
            <w:pPr>
              <w:spacing w:after="0" w:line="240"/>
              <w:jc w:val="center"/>
            </w:pPr>
            <w:r>
              <w:rPr>
                <w:b/>
                <w:bCs/>
                <w:sz w:val="22"/>
                <w:szCs w:val="22"/>
              </w:rPr>
              <w:t xml:space="preserve">Probabilité</w:t>
            </w:r>
          </w:p>
        </w:tc>
        <w:tc>
          <w:tcPr>
            <w:tcW w:type="pct" w:w="12%"/>
            <w:shd w:fill="E7E6E6" w:val="clear"/>
            <w:tcMar>
              <w:top w:type="dxa" w:w="60"/>
              <w:left w:type="dxa" w:w="100"/>
              <w:bottom w:type="dxa" w:w="60"/>
              <w:right w:type="dxa" w:w="100"/>
            </w:tcMar>
            <w:vAlign w:val="center"/>
          </w:tcPr>
          <w:p>
            <w:pPr>
              <w:spacing w:after="0" w:line="240"/>
              <w:jc w:val="center"/>
            </w:pPr>
            <w:r>
              <w:rPr>
                <w:b/>
                <w:bCs/>
                <w:sz w:val="22"/>
                <w:szCs w:val="22"/>
              </w:rPr>
              <w:t xml:space="preserve">Impact</w:t>
            </w:r>
          </w:p>
        </w:tc>
        <w:tc>
          <w:tcPr>
            <w:tcW w:type="pct" w:w="42%"/>
            <w:shd w:fill="E7E6E6" w:val="clear"/>
            <w:tcMar>
              <w:top w:type="dxa" w:w="60"/>
              <w:left w:type="dxa" w:w="100"/>
              <w:bottom w:type="dxa" w:w="60"/>
              <w:right w:type="dxa" w:w="100"/>
            </w:tcMar>
            <w:vAlign w:val="center"/>
          </w:tcPr>
          <w:p>
            <w:pPr>
              <w:spacing w:after="0" w:line="240"/>
              <w:jc w:val="center"/>
            </w:pPr>
            <w:r>
              <w:rPr>
                <w:b/>
                <w:bCs/>
                <w:sz w:val="22"/>
                <w:szCs w:val="22"/>
              </w:rPr>
              <w:t xml:space="preserve">Atténuation</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KS manque la marge de 2 s sur les rampes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Moyenne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Moyen</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Résultat négatif pré-enregistré, frontière rapportée</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Instabilité du réglage de débit netlink à 10 Hz</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Moyenne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Élevé</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Trempage de 30 minutes, rejoueur Go pur en solution principale</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Bruit de la machine virtuelle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Moyenne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Moyen</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Épinglage CPU, covariable processeur, plans appariés</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Bras 4G réel bloqué</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Faible à moyenne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Moyen</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Abandon pour cause documentée uniquement, acquisition en semaine 1</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Dérive du périmètre fonctionnel</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Élevée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Élevé</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Exclu par conception, adaptation par règles uniquement</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Interruption nocturne (délestage JIRAMA)</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Moyenne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Moyen</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Points de contrôle par événement, reprise, journalisation</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Dérive des chiffres cités dans les sources web</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Faible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Faible</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Citations avec date de consultation, pages sauvegardées</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Dépassement de stockage disque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Faible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Élevé</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Captures fenêtrées, échantillon d’audit, ~8 Go prévus au total</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Détecteur gradient faux positifs sur gigue normale</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Moyenne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Moyen</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Fenêtre N = 10 échantillons, calibration sur phases dédiées</w:t>
            </w:r>
          </w:p>
        </w:tc>
      </w:tr>
      <w:tr>
        <w:trPr>
          <w:cantSplit/>
        </w:trPr>
        <w:tc>
          <w:tcPr>
            <w:tcW w:type="pct" w:w="32%"/>
            <w:tcMar>
              <w:top w:type="dxa" w:w="60"/>
              <w:left w:type="dxa" w:w="100"/>
              <w:bottom w:type="dxa" w:w="60"/>
              <w:right w:type="dxa" w:w="100"/>
            </w:tcMar>
            <w:vAlign w:val="center"/>
          </w:tcPr>
          <w:p>
            <w:pPr>
              <w:spacing w:after="0" w:line="240"/>
              <w:jc w:val="left"/>
            </w:pPr>
            <w:r>
              <w:rPr>
                <w:b w:val="false"/>
                <w:bCs w:val="false"/>
                <w:sz w:val="22"/>
                <w:szCs w:val="22"/>
              </w:rPr>
              <w:t xml:space="preserve">EWMA retard de détection sur rampes lentes</w:t>
            </w:r>
          </w:p>
        </w:tc>
        <w:tc>
          <w:tcPr>
            <w:tcW w:type="pct" w:w="14%"/>
            <w:tcMar>
              <w:top w:type="dxa" w:w="60"/>
              <w:left w:type="dxa" w:w="100"/>
              <w:bottom w:type="dxa" w:w="60"/>
              <w:right w:type="dxa" w:w="100"/>
            </w:tcMar>
            <w:vAlign w:val="center"/>
          </w:tcPr>
          <w:p>
            <w:pPr>
              <w:spacing w:after="0" w:line="240"/>
              <w:jc w:val="left"/>
            </w:pPr>
            <w:r>
              <w:rPr>
                <w:b w:val="false"/>
                <w:bCs w:val="false"/>
                <w:sz w:val="22"/>
                <w:szCs w:val="22"/>
              </w:rPr>
              <w:t xml:space="preserve">Moyenne</w:t>
            </w:r>
          </w:p>
        </w:tc>
        <w:tc>
          <w:tcPr>
            <w:tcW w:type="pct" w:w="12%"/>
            <w:tcMar>
              <w:top w:type="dxa" w:w="60"/>
              <w:left w:type="dxa" w:w="100"/>
              <w:bottom w:type="dxa" w:w="60"/>
              <w:right w:type="dxa" w:w="100"/>
            </w:tcMar>
            <w:vAlign w:val="center"/>
          </w:tcPr>
          <w:p>
            <w:pPr>
              <w:spacing w:after="0" w:line="240"/>
              <w:jc w:val="left"/>
            </w:pPr>
            <w:r>
              <w:rPr>
                <w:b w:val="false"/>
                <w:bCs w:val="false"/>
                <w:sz w:val="22"/>
                <w:szCs w:val="22"/>
              </w:rPr>
              <w:t xml:space="preserve">Moyen</w:t>
            </w:r>
          </w:p>
        </w:tc>
        <w:tc>
          <w:tcPr>
            <w:tcW w:type="pct" w:w="42%"/>
            <w:tcMar>
              <w:top w:type="dxa" w:w="60"/>
              <w:left w:type="dxa" w:w="100"/>
              <w:bottom w:type="dxa" w:w="60"/>
              <w:right w:type="dxa" w:w="100"/>
            </w:tcMar>
            <w:vAlign w:val="center"/>
          </w:tcPr>
          <w:p>
            <w:pPr>
              <w:spacing w:after="0" w:line="240"/>
              <w:jc w:val="left"/>
            </w:pPr>
            <w:r>
              <w:rPr>
                <w:b w:val="false"/>
                <w:bCs w:val="false"/>
                <w:sz w:val="22"/>
                <w:szCs w:val="22"/>
              </w:rPr>
              <w:t xml:space="preserve">Alpha ajustable (0,125 par défaut), comparé au KS comme alternative</w:t>
            </w:r>
          </w:p>
        </w:tc>
      </w:tr>
    </w:tbl>
    <w:p>
      <w:pPr>
        <w:spacing w:after="240" w:line="240"/>
      </w:pPr>
    </w:p>
    <w:p>
      <w:pPr>
        <w:pStyle w:val="Heading2"/>
        <w:keepNext/>
        <w:spacing w:after="200" w:before="360" w:line="360"/>
      </w:pPr>
      <w:r>
        <w:t xml:space="preserve">Annexe D. Présentation de l'Université d'Antananarivo</w:t>
      </w:r>
    </w:p>
    <w:p>
      <w:pPr>
        <w:spacing w:after="0" w:line="360"/>
        <w:ind w:firstLine="709"/>
        <w:jc w:val="both"/>
      </w:pPr>
      <w:r>
        <w:t xml:space="preserve">Le présent mémoire est soutenu dans le cadre de la Mention Informatique de l'Université d'Antananarivo, établissement au sein duquel l'auteur a suivi sa formation. Cette annexe présente brièvement l'établissement de rattachement académique, en complément de la présentation de l'organisme d'accueil du stage développée dans la première partie.</w:t>
      </w:r>
    </w:p>
    <w:p>
      <w:pPr>
        <w:spacing w:after="0" w:line="360"/>
        <w:ind w:firstLine="709"/>
        <w:jc w:val="both"/>
      </w:pPr>
      <w:r>
        <w:t xml:space="preserve">L'Université d'Antananarivo est la plus ancienne et la plus importante des universités publiques de Madagascar. Fondée en 1961, peu après l'indépendance, elle est située dans la capitale, principalement sur le campus d'Ankatso, et accueille plusieurs dizaines de milliers d'étudiants. Elle est organisée en domaines de formation et en établissements (facultés, écoles et instituts) couvrant les sciences et technologies, les sciences humaines et sociales, le droit, l'économie, la gestion, la médecine et les lettres. Depuis la mise en œuvre du système Licence-Master-Doctorat (LMD), la formation est structurée en domaines, mentions et parcours.</w:t>
      </w:r>
    </w:p>
    <w:p>
      <w:pPr>
        <w:spacing w:after="0" w:line="360"/>
        <w:ind w:firstLine="709"/>
        <w:jc w:val="both"/>
      </w:pPr>
      <w:r>
        <w:t xml:space="preserve">La formation à l'origine de ce mémoire relève du Domaine Sciences et Technologies, Mention Informatique. Cette mention forme, aux grades de Licence, de Master et de Doctorat, des spécialistes de la conception, du développement et de l'administration des systèmes informatiques et des réseaux. Le cursus de Master, sanctionné par la rédaction et la soutenance d'un mémoire de fin d'études, associe enseignements théoriques (algorithmique, réseaux, systèmes, bases de données, génie logiciel, sécurité) et travail de recherche appliquée. Le mémoire de fin d'études, souvent adossé à un stage en entreprise ou en institution, vise à démontrer la capacité de l'étudiant à poser une problématique, à mobiliser l'état de l'art, à concevoir une solution et à en évaluer rigoureusement les résultats.</w:t>
      </w:r>
    </w:p>
    <w:p>
      <w:pPr>
        <w:spacing w:after="0" w:line="360"/>
        <w:ind w:firstLine="709"/>
        <w:jc w:val="both"/>
      </w:pPr>
      <w:r>
        <w:t xml:space="preserve">Le </w:t>
      </w:r>
      <w:r>
        <w:t xml:space="preserve">Tableau </w:t>
      </w:r>
      <w:fldSimple w:instr="REF RefTab_univ \h">
        <w:r>
          <w:t xml:space="preserve">0</w:t>
        </w:r>
      </w:fldSimple>
      <w:r>
        <w:t xml:space="preserve"> rassemble les principaux éléments d'identification de l'établissement de rattachement académique.</w:t>
      </w:r>
    </w:p>
    <w:p>
      <w:pPr>
        <w:keepNext/>
        <w:spacing w:after="60" w:before="240" w:line="276"/>
        <w:jc w:val="center"/>
      </w:pPr>
      <w:r>
        <w:rPr>
          <w:i/>
          <w:iCs/>
          <w:sz w:val="22"/>
          <w:szCs w:val="22"/>
        </w:rPr>
        <w:t xml:space="preserve">Tableau </w:t>
      </w:r>
      <w:bookmarkStart w:name="RefTab_univ" w:id="1"/>
      <w:fldSimple w:instr="SEQ Tableau \* ARABIC">
        <w:r>
          <w:t xml:space="preserve">0</w:t>
        </w:r>
      </w:fldSimple>
      <w:bookmarkEnd w:id="1"/>
      <w:r>
        <w:rPr>
          <w:i/>
          <w:iCs/>
          <w:sz w:val="22"/>
          <w:szCs w:val="22"/>
        </w:rPr>
        <w:t xml:space="preserve"> – Fiche d'identification de l'établissement de rattachement académique.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rPr>
          <w:cantSplit/>
          <w:tblHeader/>
        </w:trPr>
        <w:tc>
          <w:tcPr>
            <w:tcW w:type="pct" w:w="30%"/>
            <w:shd w:fill="E7E6E6" w:val="clear"/>
            <w:tcMar>
              <w:top w:type="dxa" w:w="60"/>
              <w:left w:type="dxa" w:w="100"/>
              <w:bottom w:type="dxa" w:w="60"/>
              <w:right w:type="dxa" w:w="100"/>
            </w:tcMar>
            <w:vAlign w:val="center"/>
          </w:tcPr>
          <w:p>
            <w:pPr>
              <w:spacing w:after="0" w:line="240"/>
              <w:jc w:val="center"/>
            </w:pPr>
            <w:r>
              <w:rPr>
                <w:b/>
                <w:bCs/>
                <w:sz w:val="22"/>
                <w:szCs w:val="22"/>
              </w:rPr>
              <w:t xml:space="preserve">Rubrique</w:t>
            </w:r>
          </w:p>
        </w:tc>
        <w:tc>
          <w:tcPr>
            <w:tcW w:type="pct" w:w="70%"/>
            <w:shd w:fill="E7E6E6" w:val="clear"/>
            <w:tcMar>
              <w:top w:type="dxa" w:w="60"/>
              <w:left w:type="dxa" w:w="100"/>
              <w:bottom w:type="dxa" w:w="60"/>
              <w:right w:type="dxa" w:w="100"/>
            </w:tcMar>
            <w:vAlign w:val="center"/>
          </w:tcPr>
          <w:p>
            <w:pPr>
              <w:spacing w:after="0" w:line="240"/>
              <w:jc w:val="center"/>
            </w:pPr>
            <w:r>
              <w:rPr>
                <w:b/>
                <w:bCs/>
                <w:sz w:val="22"/>
                <w:szCs w:val="22"/>
              </w:rPr>
              <w:t xml:space="preserve">Renseignement</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Établissement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d’Antananarivo</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Statut</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Université publique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Année de fondation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1961</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Localisation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Antananarivo (campus d’Ankatso), Madagascar</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Domaine</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Sciences et Technologies</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Mention</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Informatique</w:t>
            </w:r>
          </w:p>
        </w:tc>
      </w:tr>
      <w:tr>
        <w:trPr>
          <w:cantSplit/>
        </w:trPr>
        <w:tc>
          <w:tcPr>
            <w:tcW w:type="pct" w:w="30%"/>
            <w:tcMar>
              <w:top w:type="dxa" w:w="60"/>
              <w:left w:type="dxa" w:w="100"/>
              <w:bottom w:type="dxa" w:w="60"/>
              <w:right w:type="dxa" w:w="100"/>
            </w:tcMar>
            <w:vAlign w:val="center"/>
          </w:tcPr>
          <w:p>
            <w:pPr>
              <w:spacing w:after="0" w:line="240"/>
              <w:jc w:val="left"/>
            </w:pPr>
            <w:r>
              <w:rPr>
                <w:b w:val="false"/>
                <w:bCs w:val="false"/>
                <w:sz w:val="22"/>
                <w:szCs w:val="22"/>
              </w:rPr>
              <w:t xml:space="preserve">Diplôme préparé</w:t>
            </w:r>
          </w:p>
        </w:tc>
        <w:tc>
          <w:tcPr>
            <w:tcW w:type="pct" w:w="70%"/>
            <w:tcMar>
              <w:top w:type="dxa" w:w="60"/>
              <w:left w:type="dxa" w:w="100"/>
              <w:bottom w:type="dxa" w:w="60"/>
              <w:right w:type="dxa" w:w="100"/>
            </w:tcMar>
            <w:vAlign w:val="center"/>
          </w:tcPr>
          <w:p>
            <w:pPr>
              <w:spacing w:after="0" w:line="240"/>
              <w:jc w:val="left"/>
            </w:pPr>
            <w:r>
              <w:rPr>
                <w:b w:val="false"/>
                <w:bCs w:val="false"/>
                <w:sz w:val="22"/>
                <w:szCs w:val="22"/>
              </w:rPr>
              <w:t xml:space="preserve">Master en Informatique (système LMD)</w:t>
            </w:r>
          </w:p>
        </w:tc>
      </w:tr>
    </w:tbl>
    <w:p>
      <w:pPr>
        <w:spacing w:after="240" w:line="240"/>
      </w:pPr>
    </w:p>
    <w:sectPr>
      <w:footerReference w:type="default" r:id="rId8"/>
      <w:pgSz w:w="11906" w:h="16838" w:orient="portrait"/>
      <w:pgMar w:top="1417" w:right="1417" w:bottom="1417" w:left="1417"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00" w:before="360" w:line="36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60" w:before="280" w:line="360"/>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83ffb3ed95687e8046432011e436cb54848dd93.png"/><Relationship Id="rId10" Type="http://schemas.openxmlformats.org/officeDocument/2006/relationships/image" Target="media/6a58d49458d53bedfede2cfcc9803d3abb531abd.png"/><Relationship Id="rId11" Type="http://schemas.openxmlformats.org/officeDocument/2006/relationships/image" Target="media/03025b1a2ebab8c70c3d47a61c27cd40b51542af.png"/><Relationship Id="rId12" Type="http://schemas.openxmlformats.org/officeDocument/2006/relationships/image" Target="media/c458015b306ff8e2777ea2f7f9c38780739c3b1b.png"/><Relationship Id="rId13" Type="http://schemas.openxmlformats.org/officeDocument/2006/relationships/image" Target="media/e555f7afec9c6aef19be06edf3aed2a0f00be74a.png"/><Relationship Id="rId14" Type="http://schemas.openxmlformats.org/officeDocument/2006/relationships/image" Target="media/f6148d77bff83303abe31c01eeba7874349a9bc5.png"/><Relationship Id="rId15" Type="http://schemas.openxmlformats.org/officeDocument/2006/relationships/image" Target="media/3380e0f8b43d83b2db8b0b44dc2a7eeb9ea6ca88.png"/><Relationship Id="rId16" Type="http://schemas.openxmlformats.org/officeDocument/2006/relationships/image" Target="media/1600bd5306e72ec7c5cbcf4a3d83b0d6558fd74c.png"/><Relationship Id="rId17" Type="http://schemas.openxmlformats.org/officeDocument/2006/relationships/image" Target="media/92bf38dcb4ae75a7472004ddca0d6f1f9761e8fc.png"/><Relationship Id="rId18" Type="http://schemas.openxmlformats.org/officeDocument/2006/relationships/image" Target="media/b967adb918260d5621b32ce90160195be16d8233.png"/><Relationship Id="rId19" Type="http://schemas.openxmlformats.org/officeDocument/2006/relationships/image" Target="media/ecf42965df5ecf1ad264db6e68fd5264d8bf2980.png"/><Relationship Id="rId20" Type="http://schemas.openxmlformats.org/officeDocument/2006/relationships/image" Target="media/aaa113abfb52b6b07300db07970434b735e123d3.png"/><Relationship Id="rId21" Type="http://schemas.openxmlformats.org/officeDocument/2006/relationships/image" Target="media/ffb0ba2d0eb4c1361a8626545966afbc0ddae5a1.png"/><Relationship Id="rId22" Type="http://schemas.openxmlformats.org/officeDocument/2006/relationships/image" Target="media/8676d9455e39dae58cdeaab8c15a136b563d6396.png"/><Relationship Id="rId23" Type="http://schemas.openxmlformats.org/officeDocument/2006/relationships/image" Target="media/27c4ed4fe574b138b58efb77dc7408e4ac53e45e.png"/><Relationship Id="rId24" Type="http://schemas.openxmlformats.org/officeDocument/2006/relationships/image" Target="media/6f506d61f227731967018122d0703b87a1adb01d.png"/><Relationship Id="rId25" Type="http://schemas.openxmlformats.org/officeDocument/2006/relationships/image" Target="media/cc850587008de3da2c18e8808534cb5c083f433d.png"/><Relationship Id="rId26" Type="http://schemas.openxmlformats.org/officeDocument/2006/relationships/image" Target="media/bb72a507d63d37bb48f5cf38d37c72c5c53dc54b.png"/><Relationship Id="rId27" Type="http://schemas.openxmlformats.org/officeDocument/2006/relationships/image" Target="media/8182a7f981bb82ca1a94dd86dd6e659669a7fd94.png"/><Relationship Id="rId28" Type="http://schemas.openxmlformats.org/officeDocument/2006/relationships/image" Target="media/b0c517bdc8acf1e466954362cdbc06883b34c321.png"/><Relationship Id="rId29" Type="http://schemas.openxmlformats.org/officeDocument/2006/relationships/image" Target="media/4ae3e19598ca7c9c02c4a1c194834964f14b83d4.png"/><Relationship Id="rId30" Type="http://schemas.openxmlformats.org/officeDocument/2006/relationships/image" Target="media/e7a97829aa66e9c62f8ce5f9fb1b2209e7ce06cf.png"/><Relationship Id="rId31" Type="http://schemas.openxmlformats.org/officeDocument/2006/relationships/image" Target="media/3b3c5c562ffca8291616ba713c9758af10a300d2.png"/><Relationship Id="rId32" Type="http://schemas.openxmlformats.org/officeDocument/2006/relationships/image" Target="media/2c4bc9ae5d9bac052f0f2571fa2f7b2136c0478c.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instrument de mesure expérimentale pour la caractérisation de la congestion sur les liens d'accès malgaches</dc:title>
  <dc:creator>CGO</dc:creator>
  <dc:description>Mémoire de fin d’études, version 1</dc:description>
  <cp:lastModifiedBy>Un-named</cp:lastModifiedBy>
  <cp:revision>1</cp:revision>
  <dcterms:created xsi:type="dcterms:W3CDTF">2026-09-01T11:58:24.689Z</dcterms:created>
  <dcterms:modified xsi:type="dcterms:W3CDTF">2026-09-01T11:58:24.690Z</dcterms:modified>
</cp:coreProperties>
</file>

<file path=docProps/custom.xml><?xml version="1.0" encoding="utf-8"?>
<Properties xmlns="http://schemas.openxmlformats.org/officeDocument/2006/custom-properties" xmlns:vt="http://schemas.openxmlformats.org/officeDocument/2006/docPropsVTypes"/>
</file>