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Experimental Design – Design Components (drop-in)</w:t>
      </w:r>
    </w:p>
    <w:p>
      <w:r>
        <w:t>To test whether internal timing policies can deliver management’s targets, we ran a 2³ factorial design in Vensim on the three aging-chain time constants. Factors and levels: learning time x1 = 1 vs. 2 years; maturing time x2 = 3 vs. 5 years; retiring (Gray-Hair tenure) time x3 = 10 vs. 15 years. All runs use the stepped hiring profile (50/year in year 1, then a constant rate solved per combination as described below).</w:t>
      </w:r>
    </w:p>
    <w:p>
      <w:pPr>
        <w:pStyle w:val="Heading2"/>
      </w:pPr>
      <w:r>
        <w:t>Table 1 – Hiring solved for 7.8M lamps/year (base productivity)</w:t>
      </w:r>
    </w:p>
    <w:p>
      <w:r>
        <w:t>In each combination the hiring rate after year 1 was solved so the model produces exactly 7.8 million lamps/year at current productivity. Production is therefore fixed by construction in every row – the meaningful response is the workforce each combination needs. Every combination overshoots the 1,700-employee target; combination 2 (1, 3, 15) needs the fewest.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Combo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x1 learn (yr)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x2 mature (yr)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x3 retire (yr)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Hiring/yr after yr 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Employees yr 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Production yr 10 (M)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283.65</w:t>
            </w:r>
          </w:p>
        </w:tc>
        <w:tc>
          <w:tcPr>
            <w:tcW w:type="dxa" w:w="1234"/>
          </w:tcPr>
          <w:p>
            <w:r>
              <w:t>2565</w:t>
            </w:r>
          </w:p>
        </w:tc>
        <w:tc>
          <w:tcPr>
            <w:tcW w:type="dxa" w:w="1234"/>
          </w:tcPr>
          <w:p>
            <w:r>
              <w:t>7.8</w:t>
            </w:r>
          </w:p>
        </w:tc>
      </w:tr>
      <w:tr>
        <w:tc>
          <w:tcPr>
            <w:tcW w:type="dxa" w:w="1234"/>
            <w:shd w:val="clear" w:fill="D9EAD3"/>
          </w:tcPr>
          <w:p>
            <w:r>
              <w:t>2</w:t>
            </w:r>
          </w:p>
        </w:tc>
        <w:tc>
          <w:tcPr>
            <w:tcW w:type="dxa" w:w="1234"/>
            <w:shd w:val="clear" w:fill="D9EAD3"/>
          </w:tcPr>
          <w:p>
            <w:r>
              <w:t>1.0</w:t>
            </w:r>
          </w:p>
        </w:tc>
        <w:tc>
          <w:tcPr>
            <w:tcW w:type="dxa" w:w="1234"/>
            <w:shd w:val="clear" w:fill="D9EAD3"/>
          </w:tcPr>
          <w:p>
            <w:r>
              <w:t>3.0</w:t>
            </w:r>
          </w:p>
        </w:tc>
        <w:tc>
          <w:tcPr>
            <w:tcW w:type="dxa" w:w="1234"/>
            <w:shd w:val="clear" w:fill="D9EAD3"/>
          </w:tcPr>
          <w:p>
            <w:r>
              <w:t>15.0</w:t>
            </w:r>
          </w:p>
        </w:tc>
        <w:tc>
          <w:tcPr>
            <w:tcW w:type="dxa" w:w="1234"/>
            <w:shd w:val="clear" w:fill="D9EAD3"/>
          </w:tcPr>
          <w:p>
            <w:r>
              <w:t>244.59</w:t>
            </w:r>
          </w:p>
        </w:tc>
        <w:tc>
          <w:tcPr>
            <w:tcW w:type="dxa" w:w="1234"/>
            <w:shd w:val="clear" w:fill="D9EAD3"/>
          </w:tcPr>
          <w:p>
            <w:r>
              <w:t>2482</w:t>
            </w:r>
          </w:p>
        </w:tc>
        <w:tc>
          <w:tcPr>
            <w:tcW w:type="dxa" w:w="1234"/>
            <w:shd w:val="clear" w:fill="D9EAD3"/>
          </w:tcPr>
          <w:p>
            <w:r>
              <w:t>7.8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293.88</w:t>
            </w:r>
          </w:p>
        </w:tc>
        <w:tc>
          <w:tcPr>
            <w:tcW w:type="dxa" w:w="1234"/>
          </w:tcPr>
          <w:p>
            <w:r>
              <w:t>2784</w:t>
            </w:r>
          </w:p>
        </w:tc>
        <w:tc>
          <w:tcPr>
            <w:tcW w:type="dxa" w:w="1234"/>
          </w:tcPr>
          <w:p>
            <w:r>
              <w:t>7.8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258.52</w:t>
            </w:r>
          </w:p>
        </w:tc>
        <w:tc>
          <w:tcPr>
            <w:tcW w:type="dxa" w:w="1234"/>
          </w:tcPr>
          <w:p>
            <w:r>
              <w:t>2687</w:t>
            </w:r>
          </w:p>
        </w:tc>
        <w:tc>
          <w:tcPr>
            <w:tcW w:type="dxa" w:w="1234"/>
          </w:tcPr>
          <w:p>
            <w:r>
              <w:t>7.8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303.58</w:t>
            </w:r>
          </w:p>
        </w:tc>
        <w:tc>
          <w:tcPr>
            <w:tcW w:type="dxa" w:w="1234"/>
          </w:tcPr>
          <w:p>
            <w:r>
              <w:t>2810</w:t>
            </w:r>
          </w:p>
        </w:tc>
        <w:tc>
          <w:tcPr>
            <w:tcW w:type="dxa" w:w="1234"/>
          </w:tcPr>
          <w:p>
            <w:r>
              <w:t>7.8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264.48</w:t>
            </w:r>
          </w:p>
        </w:tc>
        <w:tc>
          <w:tcPr>
            <w:tcW w:type="dxa" w:w="1234"/>
          </w:tcPr>
          <w:p>
            <w:r>
              <w:t>2701</w:t>
            </w:r>
          </w:p>
        </w:tc>
        <w:tc>
          <w:tcPr>
            <w:tcW w:type="dxa" w:w="1234"/>
          </w:tcPr>
          <w:p>
            <w:r>
              <w:t>7.8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315.45</w:t>
            </w:r>
          </w:p>
        </w:tc>
        <w:tc>
          <w:tcPr>
            <w:tcW w:type="dxa" w:w="1234"/>
          </w:tcPr>
          <w:p>
            <w:r>
              <w:t>3030</w:t>
            </w:r>
          </w:p>
        </w:tc>
        <w:tc>
          <w:tcPr>
            <w:tcW w:type="dxa" w:w="1234"/>
          </w:tcPr>
          <w:p>
            <w:r>
              <w:t>7.8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279.88</w:t>
            </w:r>
          </w:p>
        </w:tc>
        <w:tc>
          <w:tcPr>
            <w:tcW w:type="dxa" w:w="1234"/>
          </w:tcPr>
          <w:p>
            <w:r>
              <w:t>2912</w:t>
            </w:r>
          </w:p>
        </w:tc>
        <w:tc>
          <w:tcPr>
            <w:tcW w:type="dxa" w:w="1234"/>
          </w:tcPr>
          <w:p>
            <w:r>
              <w:t>7.8</w:t>
            </w:r>
          </w:p>
        </w:tc>
      </w:tr>
    </w:tbl>
    <w:p>
      <w:pPr>
        <w:pStyle w:val="Caption"/>
      </w:pPr>
      <w:r>
        <w:t>Figure 1 – Workforce needed per combination to reach 7.8M lamps (combo 2 highlighted).</w:t>
      </w:r>
    </w:p>
    <w:p>
      <w:r>
        <w:drawing>
          <wp:inline xmlns:a="http://schemas.openxmlformats.org/drawingml/2006/main" xmlns:pic="http://schemas.openxmlformats.org/drawingml/2006/picture">
            <wp:extent cx="5303520" cy="2408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b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Table 2 – Hiring solved for 1,700 employees; productivity gain still required</w:t>
      </w:r>
    </w:p>
    <w:p>
      <w:r>
        <w:t>Here the hiring rate after year 1 was solved so each combination lands on exactly 1,700 employees at year 10. The table shows the resulting base-production and the productivity gain still needed to reach 7.8M lamps. Combination 2 again dominates: it needs the smallest gain (+41.7%).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Combo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x1 (yr)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x2 (yr)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x3 (yr)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Hiring/yr for 1,700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Base prod. (M)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Gain needed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170.5</w:t>
            </w:r>
          </w:p>
        </w:tc>
        <w:tc>
          <w:tcPr>
            <w:tcW w:type="dxa" w:w="1234"/>
          </w:tcPr>
          <w:p>
            <w:r>
              <w:t>5.31</w:t>
            </w:r>
          </w:p>
        </w:tc>
        <w:tc>
          <w:tcPr>
            <w:tcW w:type="dxa" w:w="1234"/>
          </w:tcPr>
          <w:p>
            <w:r>
              <w:t>47.0%</w:t>
            </w:r>
          </w:p>
        </w:tc>
      </w:tr>
      <w:tr>
        <w:tc>
          <w:tcPr>
            <w:tcW w:type="dxa" w:w="1234"/>
            <w:shd w:val="clear" w:fill="D9EAD3"/>
          </w:tcPr>
          <w:p>
            <w:r>
              <w:t>2</w:t>
            </w:r>
          </w:p>
        </w:tc>
        <w:tc>
          <w:tcPr>
            <w:tcW w:type="dxa" w:w="1234"/>
            <w:shd w:val="clear" w:fill="D9EAD3"/>
          </w:tcPr>
          <w:p>
            <w:r>
              <w:t>1.0</w:t>
            </w:r>
          </w:p>
        </w:tc>
        <w:tc>
          <w:tcPr>
            <w:tcW w:type="dxa" w:w="1234"/>
            <w:shd w:val="clear" w:fill="D9EAD3"/>
          </w:tcPr>
          <w:p>
            <w:r>
              <w:t>3.0</w:t>
            </w:r>
          </w:p>
        </w:tc>
        <w:tc>
          <w:tcPr>
            <w:tcW w:type="dxa" w:w="1234"/>
            <w:shd w:val="clear" w:fill="D9EAD3"/>
          </w:tcPr>
          <w:p>
            <w:r>
              <w:t>15.0</w:t>
            </w:r>
          </w:p>
        </w:tc>
        <w:tc>
          <w:tcPr>
            <w:tcW w:type="dxa" w:w="1234"/>
            <w:shd w:val="clear" w:fill="D9EAD3"/>
          </w:tcPr>
          <w:p>
            <w:r>
              <w:t>147.3</w:t>
            </w:r>
          </w:p>
        </w:tc>
        <w:tc>
          <w:tcPr>
            <w:tcW w:type="dxa" w:w="1234"/>
            <w:shd w:val="clear" w:fill="D9EAD3"/>
          </w:tcPr>
          <w:p>
            <w:r>
              <w:t>5.51</w:t>
            </w:r>
          </w:p>
        </w:tc>
        <w:tc>
          <w:tcPr>
            <w:tcW w:type="dxa" w:w="1234"/>
            <w:shd w:val="clear" w:fill="D9EAD3"/>
          </w:tcPr>
          <w:p>
            <w:r>
              <w:t>41.7%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158.4</w:t>
            </w:r>
          </w:p>
        </w:tc>
        <w:tc>
          <w:tcPr>
            <w:tcW w:type="dxa" w:w="1234"/>
          </w:tcPr>
          <w:p>
            <w:r>
              <w:t>4.95</w:t>
            </w:r>
          </w:p>
        </w:tc>
        <w:tc>
          <w:tcPr>
            <w:tcW w:type="dxa" w:w="1234"/>
          </w:tcPr>
          <w:p>
            <w:r>
              <w:t>57.7%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139.4</w:t>
            </w:r>
          </w:p>
        </w:tc>
        <w:tc>
          <w:tcPr>
            <w:tcW w:type="dxa" w:w="1234"/>
          </w:tcPr>
          <w:p>
            <w:r>
              <w:t>5.15</w:t>
            </w:r>
          </w:p>
        </w:tc>
        <w:tc>
          <w:tcPr>
            <w:tcW w:type="dxa" w:w="1234"/>
          </w:tcPr>
          <w:p>
            <w:r>
              <w:t>51.3%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163.5</w:t>
            </w:r>
          </w:p>
        </w:tc>
        <w:tc>
          <w:tcPr>
            <w:tcW w:type="dxa" w:w="1234"/>
          </w:tcPr>
          <w:p>
            <w:r>
              <w:t>4.93</w:t>
            </w:r>
          </w:p>
        </w:tc>
        <w:tc>
          <w:tcPr>
            <w:tcW w:type="dxa" w:w="1234"/>
          </w:tcPr>
          <w:p>
            <w:r>
              <w:t>58.4%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142.9</w:t>
            </w:r>
          </w:p>
        </w:tc>
        <w:tc>
          <w:tcPr>
            <w:tcW w:type="dxa" w:w="1234"/>
          </w:tcPr>
          <w:p>
            <w:r>
              <w:t>5.15</w:t>
            </w:r>
          </w:p>
        </w:tc>
        <w:tc>
          <w:tcPr>
            <w:tcW w:type="dxa" w:w="1234"/>
          </w:tcPr>
          <w:p>
            <w:r>
              <w:t>51.3%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153.5</w:t>
            </w:r>
          </w:p>
        </w:tc>
        <w:tc>
          <w:tcPr>
            <w:tcW w:type="dxa" w:w="1234"/>
          </w:tcPr>
          <w:p>
            <w:r>
              <w:t>4.63</w:t>
            </w:r>
          </w:p>
        </w:tc>
        <w:tc>
          <w:tcPr>
            <w:tcW w:type="dxa" w:w="1234"/>
          </w:tcPr>
          <w:p>
            <w:r>
              <w:t>68.5%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136.3</w:t>
            </w:r>
          </w:p>
        </w:tc>
        <w:tc>
          <w:tcPr>
            <w:tcW w:type="dxa" w:w="1234"/>
          </w:tcPr>
          <w:p>
            <w:r>
              <w:t>4.86</w:t>
            </w:r>
          </w:p>
        </w:tc>
        <w:tc>
          <w:tcPr>
            <w:tcW w:type="dxa" w:w="1234"/>
          </w:tcPr>
          <w:p>
            <w:r>
              <w:t>60.6%</w:t>
            </w:r>
          </w:p>
        </w:tc>
      </w:tr>
    </w:tbl>
    <w:p>
      <w:pPr>
        <w:pStyle w:val="Heading2"/>
      </w:pPr>
      <w:r>
        <w:t>Recommended policy trajectory (combination 2)</w:t>
      </w:r>
    </w:p>
    <w:p>
      <w:r>
        <w:t>Combination 2 (1-yr learning, 3-yr maturing, 15-yr retiring) with ≈147 hires/year after year 1 reaches 1,700 employees and 5.51M lamps at base productivity; a 41.7% productivity gain (technology, methods, automation) closes the gap to 7.8M.</w:t>
      </w:r>
    </w:p>
    <w:p>
      <w:r>
        <w:drawing>
          <wp:inline xmlns:a="http://schemas.openxmlformats.org/drawingml/2006/main" xmlns:pic="http://schemas.openxmlformats.org/drawingml/2006/picture">
            <wp:extent cx="5303520" cy="2303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ecommen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3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Analysis notes (for the results discussion)</w:t>
      </w:r>
    </w:p>
    <w:p>
      <w:pPr>
        <w:pStyle w:val="ListBullet"/>
      </w:pPr>
      <w:r>
        <w:t>Combination 2 is the best timing configuration: fewest employees to hit 7.8M at base productivity (2,482), and the smallest required productivity gain (+41.7%) under the 1,700 headcount.</w:t>
      </w:r>
    </w:p>
    <w:p>
      <w:pPr>
        <w:pStyle w:val="ListBullet"/>
      </w:pPr>
      <w:r>
        <w:t>Retiring time (x3) has the highest leverage of the three factors: extending Gray-Hair tenure from 10 to 15 years adds ≈210K lamps/year on average across the design (holding headcount at 1,700), because it keeps the most productive tier (4,000 lamps/yr) in the workforce longer.</w:t>
      </w:r>
    </w:p>
    <w:p>
      <w:pPr>
        <w:pStyle w:val="ListBullet"/>
      </w:pPr>
      <w:r>
        <w:t>The structural gap persists under every timing combination: even the best case peaks at 5.51M lamps at base productivity, so a productivity intervention is mathematically necessary – no timing policy alone reaches 7.8M with 1,700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