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Experimental Design – Section Outline</w:t>
      </w:r>
    </w:p>
    <w:p>
      <w:pPr>
        <w:pStyle w:val="IntenseQuote"/>
      </w:pPr>
      <w:r>
        <w:t>Owner: Ibrahim Oyeyinka · Drop into Raj’s outline under “Experimental Design”.</w:t>
      </w:r>
    </w:p>
    <w:p>
      <w:pPr>
        <w:pStyle w:val="Heading2"/>
      </w:pPr>
      <w:r>
        <w:t>1. Purpose of the design</w:t>
      </w:r>
    </w:p>
    <w:p>
      <w:pPr>
        <w:pStyle w:val="ListBullet"/>
      </w:pPr>
      <w:r>
        <w:t>Test whether internal timing policies (how fast people move through the pipeline) can deliver management’s targets,</w:t>
      </w:r>
    </w:p>
    <w:p>
      <w:pPr>
        <w:pStyle w:val="ListBullet"/>
      </w:pPr>
      <w:r>
        <w:t>holding hiring policy as the solved variable and productivity at current levels.</w:t>
      </w:r>
    </w:p>
    <w:p>
      <w:pPr>
        <w:pStyle w:val="Heading2"/>
      </w:pPr>
      <w:r>
        <w:t>2. Factors and levels (2³ factorial, 8 runs)</w:t>
      </w:r>
    </w:p>
    <w:p>
      <w:pPr>
        <w:pStyle w:val="ListBullet"/>
      </w:pPr>
      <w:r>
        <w:t>x1 – Learning time: 1 yr (low) vs. 2 yrs (high)</w:t>
      </w:r>
    </w:p>
    <w:p>
      <w:pPr>
        <w:pStyle w:val="ListBullet"/>
      </w:pPr>
      <w:r>
        <w:t>x2 – Maturing time: 3 yrs (low) vs. 5 yrs (high)</w:t>
      </w:r>
    </w:p>
    <w:p>
      <w:pPr>
        <w:pStyle w:val="ListBullet"/>
      </w:pPr>
      <w:r>
        <w:t>x3 – Retiring / Gray-Hair tenure: 10 yrs (low) vs. 15 yrs (high)</w:t>
      </w:r>
    </w:p>
    <w:p>
      <w:pPr>
        <w:pStyle w:val="ListBullet"/>
      </w:pPr>
      <w:r>
        <w:t>All runs: stepped hiring (50/yr in year 1, then a constant rate solved per combination).</w:t>
      </w:r>
    </w:p>
    <w:p>
      <w:pPr>
        <w:pStyle w:val="Heading2"/>
      </w:pPr>
      <w:r>
        <w:t>3. Table 1 – Hiring solved for 7.8M lamps/yr  [INSERT TABLE 1]</w:t>
      </w:r>
    </w:p>
    <w:p>
      <w:pPr>
        <w:pStyle w:val="ListBullet"/>
      </w:pPr>
      <w:r>
        <w:t>Method: for each combination, back-solve the hiring rate that yields exactly 7.8M lamps at base productivity.</w:t>
      </w:r>
    </w:p>
    <w:p>
      <w:pPr>
        <w:pStyle w:val="ListBullet"/>
      </w:pPr>
      <w:r>
        <w:t>Read the table correctly: production is fixed BY CONSTRUCTION in every row; the response is the workforce column.</w:t>
      </w:r>
    </w:p>
    <w:p>
      <w:pPr>
        <w:pStyle w:val="ListBullet"/>
      </w:pPr>
      <w:r>
        <w:t>Result: 2,482–2,031 employees needed – every combination overshoots the 1,700 target.</w:t>
      </w:r>
    </w:p>
    <w:p>
      <w:pPr>
        <w:pStyle w:val="ListBullet"/>
      </w:pPr>
      <w:r>
        <w:t>Best: combination 2 (1, 3, 15) – fewest employees (2,482).</w:t>
      </w:r>
    </w:p>
    <w:p>
      <w:pPr>
        <w:pStyle w:val="ListBullet2"/>
      </w:pPr>
      <w:r>
        <w:t>[INSERT FIGURE: combo bar chart]</w:t>
      </w:r>
    </w:p>
    <w:p>
      <w:pPr>
        <w:pStyle w:val="Heading2"/>
      </w:pPr>
      <w:r>
        <w:t>4. Table 2 – Hiring solved for 1,700 employees  [INSERT TABLE 2]</w:t>
      </w:r>
    </w:p>
    <w:p>
      <w:pPr>
        <w:pStyle w:val="ListBullet"/>
      </w:pPr>
      <w:r>
        <w:t>Method: for each combination, back-solve the hiring rate that lands exactly 1,700 employees at year 10.</w:t>
      </w:r>
    </w:p>
    <w:p>
      <w:pPr>
        <w:pStyle w:val="ListBullet"/>
      </w:pPr>
      <w:r>
        <w:t>Result: base output 4.63–5.51M; remaining productivity gain needed 41.7–68.5%.</w:t>
      </w:r>
    </w:p>
    <w:p>
      <w:pPr>
        <w:pStyle w:val="ListBullet"/>
      </w:pPr>
      <w:r>
        <w:t>Best: combination 2 again – 147.3 hires/yr, 5.51M base, smallest gain (+41.7%).</w:t>
      </w:r>
    </w:p>
    <w:p>
      <w:pPr>
        <w:pStyle w:val="ListBullet2"/>
      </w:pPr>
      <w:r>
        <w:t>[INSERT FIGURE: recommended-policy trajectories]</w:t>
      </w:r>
    </w:p>
    <w:p>
      <w:pPr>
        <w:pStyle w:val="Heading2"/>
      </w:pPr>
      <w:r>
        <w:t>5. Analysis of results</w:t>
      </w:r>
    </w:p>
    <w:p>
      <w:pPr>
        <w:pStyle w:val="ListBullet"/>
      </w:pPr>
      <w:r>
        <w:t>Combination 2 dominates on both criteria (fewest heads for 7.8M; smallest productivity gap at 1,700).</w:t>
      </w:r>
    </w:p>
    <w:p>
      <w:pPr>
        <w:pStyle w:val="ListBullet"/>
      </w:pPr>
      <w:r>
        <w:t>Retiring time (x3) has the highest leverage: 10→15 yrs adds ≈210K lamps/yr on average (keeps the 4,000/yr tier longer).</w:t>
      </w:r>
    </w:p>
    <w:p>
      <w:pPr>
        <w:pStyle w:val="ListBullet"/>
      </w:pPr>
      <w:r>
        <w:t>Structural gap persists: best timing alone peaks at 5.51M – a productivity intervention is mathematically necessary.</w:t>
      </w:r>
    </w:p>
    <w:p>
      <w:pPr>
        <w:pStyle w:val="ListBullet"/>
      </w:pPr>
      <w:r>
        <w:t>Bridge to next section: with timing fixed at combo 2, the remaining choice is headcount vs. productivity investment (see Trade-offs).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