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p14">
  <w:body>
    <w:p w14:paraId="74A924E1" w14:textId="77777777" w:rsidR="00E243B7" w:rsidRDefault="00E243B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0"/>
        <w:gridCol w:w="2608"/>
        <w:gridCol w:w="2608"/>
        <w:gridCol w:w="2608"/>
        <w:gridCol w:w="2608"/>
        <w:gridCol w:w="2608"/>
      </w:tblGrid>
      <w:tr w:rsidR="00DC63DF" w14:paraId="3474106F" w14:textId="77777777" w:rsidTr="00DC63DF">
        <w:tc>
          <w:tcPr>
            <w:tcW w:w="2230" w:type="dxa"/>
            <w:vAlign w:val="center"/>
          </w:tcPr>
          <w:p w14:paraId="17F8B5C4" w14:textId="5B9967DA" w:rsidR="00DC63DF" w:rsidRDefault="00A21C3C" w:rsidP="00DC63DF">
            <w:pPr>
              <w:jc w:val="center"/>
            </w:pPr>
            <w:r>
              <w:t>Project Title</w:t>
            </w:r>
            <w:r w:rsidR="00DC63DF">
              <w:t>:</w:t>
            </w:r>
          </w:p>
        </w:tc>
        <w:tc>
          <w:tcPr>
            <w:tcW w:w="5216" w:type="dxa"/>
            <w:gridSpan w:val="2"/>
            <w:vAlign w:val="center"/>
          </w:tcPr>
          <w:p>
            <w:r>
              <w:t xml:space="preserve">B-BOT: WiFi-enabled self-balancing wheel-legged robot</w:t>
            </w:r>
          </w:p>
        </w:tc>
        <w:tc>
          <w:tcPr>
            <w:tcW w:w="2608" w:type="dxa"/>
            <w:vAlign w:val="center"/>
          </w:tcPr>
          <w:p w14:paraId="33250A55" w14:textId="77777777" w:rsidR="00DC63DF" w:rsidRDefault="00DC63DF" w:rsidP="00DC63DF">
            <w:pPr>
              <w:jc w:val="center"/>
            </w:pPr>
            <w:r>
              <w:t>Submission Date:</w:t>
            </w:r>
          </w:p>
        </w:tc>
        <w:tc>
          <w:tcPr>
            <w:tcW w:w="5216" w:type="dxa"/>
            <w:gridSpan w:val="2"/>
            <w:vAlign w:val="center"/>
          </w:tcPr>
          <w:p>
            <w:r>
              <w:t xml:space="preserve">25 April 2026</w:t>
            </w:r>
          </w:p>
        </w:tc>
      </w:tr>
      <w:tr w:rsidR="00DC63DF" w14:paraId="7B697346" w14:textId="77777777" w:rsidTr="00DC63DF">
        <w:trPr>
          <w:trHeight w:val="227"/>
        </w:trPr>
        <w:tc>
          <w:tcPr>
            <w:tcW w:w="2230" w:type="dxa"/>
            <w:vAlign w:val="center"/>
          </w:tcPr>
          <w:p w14:paraId="63A73A2E" w14:textId="7F71E1D2" w:rsidR="00DC63DF" w:rsidRDefault="00A21C3C" w:rsidP="00DC63DF">
            <w:pPr>
              <w:jc w:val="center"/>
            </w:pPr>
            <w:r>
              <w:t>Student Name</w:t>
            </w:r>
            <w:r w:rsidR="00DC63DF">
              <w:t>:</w:t>
            </w:r>
          </w:p>
        </w:tc>
        <w:tc>
          <w:tcPr>
            <w:tcW w:w="2608" w:type="dxa"/>
            <w:vAlign w:val="center"/>
          </w:tcPr>
          <w:p>
            <w:r>
              <w:t xml:space="preserve">Botao Su</w:t>
            </w:r>
          </w:p>
        </w:tc>
        <w:tc>
          <w:tcPr>
            <w:tcW w:w="2608" w:type="dxa"/>
            <w:vAlign w:val="center"/>
          </w:tcPr>
          <w:p w14:paraId="5ABD1617" w14:textId="77777777" w:rsidR="00DC63DF" w:rsidRDefault="00DC63DF" w:rsidP="00DC63DF">
            <w:pPr>
              <w:jc w:val="center"/>
            </w:pPr>
          </w:p>
        </w:tc>
        <w:tc>
          <w:tcPr>
            <w:tcW w:w="2608" w:type="dxa"/>
            <w:vAlign w:val="center"/>
          </w:tcPr>
          <w:p w14:paraId="230557C2" w14:textId="77777777" w:rsidR="00DC63DF" w:rsidRDefault="00DC63DF" w:rsidP="00DC63DF">
            <w:pPr>
              <w:jc w:val="center"/>
            </w:pPr>
          </w:p>
        </w:tc>
        <w:tc>
          <w:tcPr>
            <w:tcW w:w="2608" w:type="dxa"/>
            <w:vAlign w:val="center"/>
          </w:tcPr>
          <w:p w14:paraId="1F047A6E" w14:textId="77777777" w:rsidR="00DC63DF" w:rsidRDefault="00DC63DF" w:rsidP="00DC63DF">
            <w:pPr>
              <w:jc w:val="center"/>
            </w:pPr>
          </w:p>
        </w:tc>
        <w:tc>
          <w:tcPr>
            <w:tcW w:w="2608" w:type="dxa"/>
            <w:vAlign w:val="center"/>
          </w:tcPr>
          <w:p w14:paraId="09D99658" w14:textId="77777777" w:rsidR="00DC63DF" w:rsidRDefault="00DC63DF" w:rsidP="00DC63DF">
            <w:pPr>
              <w:jc w:val="center"/>
            </w:pPr>
          </w:p>
        </w:tc>
      </w:tr>
    </w:tbl>
    <w:p w14:paraId="1778454F" w14:textId="77777777" w:rsidR="00DC63DF" w:rsidRDefault="00DC63DF"/>
    <w:tbl>
      <w:tblPr>
        <w:tblStyle w:val="TableGrid"/>
        <w:tblW w:w="15304" w:type="dxa"/>
        <w:tblLook w:val="04A0" w:firstRow="1" w:lastRow="0" w:firstColumn="1" w:lastColumn="0" w:noHBand="0" w:noVBand="1"/>
      </w:tblPr>
      <w:tblGrid>
        <w:gridCol w:w="3515"/>
        <w:gridCol w:w="624"/>
        <w:gridCol w:w="624"/>
        <w:gridCol w:w="624"/>
        <w:gridCol w:w="624"/>
        <w:gridCol w:w="624"/>
        <w:gridCol w:w="624"/>
        <w:gridCol w:w="2375"/>
        <w:gridCol w:w="5670"/>
      </w:tblGrid>
      <w:tr w:rsidR="00A21C3C" w14:paraId="7F3FA230" w14:textId="77777777" w:rsidTr="00A21C3C">
        <w:tc>
          <w:tcPr>
            <w:tcW w:w="3515" w:type="dxa"/>
            <w:vMerge w:val="restart"/>
            <w:vAlign w:val="center"/>
          </w:tcPr>
          <w:p w14:paraId="7C07AB5B" w14:textId="77777777" w:rsidR="00A21C3C" w:rsidRDefault="00A21C3C" w:rsidP="00DC63DF">
            <w:pPr>
              <w:jc w:val="center"/>
            </w:pPr>
            <w:r>
              <w:t>Project Risk</w:t>
            </w:r>
          </w:p>
        </w:tc>
        <w:tc>
          <w:tcPr>
            <w:tcW w:w="1872" w:type="dxa"/>
            <w:gridSpan w:val="3"/>
            <w:vAlign w:val="center"/>
          </w:tcPr>
          <w:p w14:paraId="4D45C316" w14:textId="77777777" w:rsidR="00A21C3C" w:rsidRDefault="00A21C3C" w:rsidP="00DC63DF">
            <w:pPr>
              <w:jc w:val="center"/>
            </w:pPr>
            <w:r>
              <w:t>Severity</w:t>
            </w:r>
          </w:p>
        </w:tc>
        <w:tc>
          <w:tcPr>
            <w:tcW w:w="1872" w:type="dxa"/>
            <w:gridSpan w:val="3"/>
            <w:vAlign w:val="center"/>
          </w:tcPr>
          <w:p w14:paraId="0859F4BE" w14:textId="77777777" w:rsidR="00A21C3C" w:rsidRDefault="00A21C3C" w:rsidP="00DC63DF">
            <w:pPr>
              <w:jc w:val="center"/>
            </w:pPr>
            <w:r>
              <w:t>Potential</w:t>
            </w:r>
          </w:p>
        </w:tc>
        <w:tc>
          <w:tcPr>
            <w:tcW w:w="2375" w:type="dxa"/>
            <w:vAlign w:val="center"/>
          </w:tcPr>
          <w:p w14:paraId="7E0ED704" w14:textId="77777777" w:rsidR="00A21C3C" w:rsidRDefault="00A21C3C" w:rsidP="00DC63DF">
            <w:pPr>
              <w:jc w:val="center"/>
            </w:pPr>
            <w:r>
              <w:t xml:space="preserve">Score </w:t>
            </w:r>
          </w:p>
          <w:p w14:paraId="1A5BA4EC" w14:textId="77777777" w:rsidR="00A21C3C" w:rsidRDefault="00A21C3C" w:rsidP="00DC63DF">
            <w:pPr>
              <w:jc w:val="center"/>
            </w:pPr>
            <w:r>
              <w:t>(Severity x Potential)</w:t>
            </w:r>
          </w:p>
        </w:tc>
        <w:tc>
          <w:tcPr>
            <w:tcW w:w="5670" w:type="dxa"/>
            <w:vAlign w:val="center"/>
          </w:tcPr>
          <w:p w14:paraId="48D2BDF0" w14:textId="77777777" w:rsidR="00A21C3C" w:rsidRDefault="00A21C3C" w:rsidP="00DC63DF">
            <w:pPr>
              <w:jc w:val="center"/>
            </w:pPr>
            <w:r>
              <w:t>Mitigation Measures</w:t>
            </w:r>
          </w:p>
        </w:tc>
      </w:tr>
      <w:tr w:rsidR="00A21C3C" w14:paraId="200114CE" w14:textId="77777777" w:rsidTr="00A21C3C">
        <w:tc>
          <w:tcPr>
            <w:tcW w:w="3515" w:type="dxa"/>
            <w:vMerge/>
            <w:vAlign w:val="center"/>
          </w:tcPr>
          <w:p w14:paraId="473E0891" w14:textId="77777777" w:rsidR="00A21C3C" w:rsidRDefault="00A21C3C" w:rsidP="00DC63DF">
            <w:pPr>
              <w:jc w:val="center"/>
            </w:pPr>
          </w:p>
        </w:tc>
        <w:tc>
          <w:tcPr>
            <w:tcW w:w="624" w:type="dxa"/>
            <w:vAlign w:val="center"/>
          </w:tcPr>
          <w:p w14:paraId="31DB89B4" w14:textId="77777777" w:rsidR="00A21C3C" w:rsidRDefault="00A21C3C" w:rsidP="00DC63DF">
            <w:pPr>
              <w:jc w:val="center"/>
            </w:pPr>
            <w:r>
              <w:t>L</w:t>
            </w:r>
          </w:p>
        </w:tc>
        <w:tc>
          <w:tcPr>
            <w:tcW w:w="624" w:type="dxa"/>
            <w:vAlign w:val="center"/>
          </w:tcPr>
          <w:p w14:paraId="4E3E8EDD" w14:textId="77777777" w:rsidR="00A21C3C" w:rsidRDefault="00A21C3C" w:rsidP="00DC63DF">
            <w:pPr>
              <w:jc w:val="center"/>
            </w:pPr>
            <w:r>
              <w:t>M</w:t>
            </w:r>
          </w:p>
        </w:tc>
        <w:tc>
          <w:tcPr>
            <w:tcW w:w="624" w:type="dxa"/>
            <w:vAlign w:val="center"/>
          </w:tcPr>
          <w:p w14:paraId="50FB9145" w14:textId="77777777" w:rsidR="00A21C3C" w:rsidRDefault="00A21C3C" w:rsidP="00DC63DF">
            <w:pPr>
              <w:jc w:val="center"/>
            </w:pPr>
            <w:r>
              <w:t>H</w:t>
            </w:r>
          </w:p>
        </w:tc>
        <w:tc>
          <w:tcPr>
            <w:tcW w:w="624" w:type="dxa"/>
            <w:vAlign w:val="center"/>
          </w:tcPr>
          <w:p w14:paraId="5E00EDDD" w14:textId="77777777" w:rsidR="00A21C3C" w:rsidRDefault="00A21C3C" w:rsidP="00DC63DF">
            <w:pPr>
              <w:jc w:val="center"/>
            </w:pPr>
            <w:r>
              <w:t>L</w:t>
            </w:r>
          </w:p>
        </w:tc>
        <w:tc>
          <w:tcPr>
            <w:tcW w:w="624" w:type="dxa"/>
            <w:vAlign w:val="center"/>
          </w:tcPr>
          <w:p w14:paraId="64B22368" w14:textId="77777777" w:rsidR="00A21C3C" w:rsidRDefault="00A21C3C" w:rsidP="00DC63DF">
            <w:pPr>
              <w:jc w:val="center"/>
            </w:pPr>
            <w:r>
              <w:t>M</w:t>
            </w:r>
          </w:p>
        </w:tc>
        <w:tc>
          <w:tcPr>
            <w:tcW w:w="624" w:type="dxa"/>
            <w:vAlign w:val="center"/>
          </w:tcPr>
          <w:p w14:paraId="21052ABE" w14:textId="77777777" w:rsidR="00A21C3C" w:rsidRDefault="00A21C3C" w:rsidP="00DC63DF">
            <w:pPr>
              <w:jc w:val="center"/>
            </w:pPr>
            <w:r>
              <w:t>H</w:t>
            </w:r>
          </w:p>
        </w:tc>
        <w:tc>
          <w:tcPr>
            <w:tcW w:w="2375" w:type="dxa"/>
            <w:vAlign w:val="center"/>
          </w:tcPr>
          <w:p w14:paraId="5E458C52" w14:textId="77777777" w:rsidR="00A21C3C" w:rsidRDefault="00A21C3C" w:rsidP="00DC63DF">
            <w:pPr>
              <w:jc w:val="center"/>
            </w:pPr>
            <w:r>
              <w:t>L=1, M=2, H=3</w:t>
            </w:r>
          </w:p>
        </w:tc>
        <w:tc>
          <w:tcPr>
            <w:tcW w:w="5670" w:type="dxa"/>
            <w:vAlign w:val="center"/>
          </w:tcPr>
          <w:p w14:paraId="2D2502B4" w14:textId="77777777" w:rsidR="00A21C3C" w:rsidRDefault="00A21C3C" w:rsidP="00DC63DF">
            <w:pPr>
              <w:jc w:val="center"/>
            </w:pPr>
          </w:p>
        </w:tc>
      </w:tr>
      <w:tr w:rsidR="00A21C3C" w14:paraId="2562E2C4" w14:textId="77777777" w:rsidTr="00A21C3C">
        <w:tc>
          <w:tcPr>
            <w:tcW w:w="3515" w:type="dxa"/>
            <w:vAlign w:val="center"/>
          </w:tcPr>
          <w:p>
            <w:r>
              <w:t xml:space="preserve">Final robot hardware, wiring or mechanical integration is delayed, limiting the time available for physical balance tests.</w:t>
            </w:r>
          </w:p>
        </w:tc>
        <w:tc>
          <w:tcPr>
            <w:tcW w:w="624" w:type="dxa"/>
            <w:vAlign w:val="center"/>
          </w:tcPr>
          <w:p>
            <w:r>
              <w:t xml:space="preserve"/>
            </w:r>
          </w:p>
        </w:tc>
        <w:tc>
          <w:tcPr>
            <w:tcW w:w="624" w:type="dxa"/>
            <w:vAlign w:val="center"/>
          </w:tcPr>
          <w:p>
            <w:r>
              <w:t xml:space="preserve"/>
            </w:r>
          </w:p>
        </w:tc>
        <w:tc>
          <w:tcPr>
            <w:tcW w:w="624" w:type="dxa"/>
            <w:vAlign w:val="center"/>
          </w:tcPr>
          <w:p>
            <w:r>
              <w:t xml:space="preserve">X</w:t>
            </w:r>
          </w:p>
        </w:tc>
        <w:tc>
          <w:tcPr>
            <w:tcW w:w="624" w:type="dxa"/>
            <w:vAlign w:val="center"/>
          </w:tcPr>
          <w:p>
            <w:r>
              <w:t xml:space="preserve"/>
            </w:r>
          </w:p>
        </w:tc>
        <w:tc>
          <w:tcPr>
            <w:tcW w:w="624" w:type="dxa"/>
            <w:vAlign w:val="center"/>
          </w:tcPr>
          <w:p>
            <w:r>
              <w:t xml:space="preserve">X</w:t>
            </w:r>
          </w:p>
        </w:tc>
        <w:tc>
          <w:tcPr>
            <w:tcW w:w="624" w:type="dxa"/>
            <w:vAlign w:val="center"/>
          </w:tcPr>
          <w:p>
            <w:r>
              <w:t xml:space="preserve"/>
            </w:r>
          </w:p>
        </w:tc>
        <w:tc>
          <w:tcPr>
            <w:tcW w:w="2375" w:type="dxa"/>
            <w:vAlign w:val="center"/>
          </w:tcPr>
          <w:p>
            <w:r>
              <w:t xml:space="preserve">6</w:t>
            </w:r>
          </w:p>
        </w:tc>
        <w:tc>
          <w:tcPr>
            <w:tcW w:w="5670" w:type="dxa"/>
            <w:vAlign w:val="center"/>
          </w:tcPr>
          <w:p>
            <w:r>
              <w:t xml:space="preserve">Split work into bench-verifiable subsystems; bring up ESP32, camera and WiFi command path before full robot availability; prioritise E1-E4/E9 physical tests once hardware is available; keep provisional analysis clearly marked until replaced.</w:t>
            </w:r>
          </w:p>
        </w:tc>
      </w:tr>
      <w:tr w:rsidR="00A21C3C" w14:paraId="02EFF559" w14:textId="77777777" w:rsidTr="00A21C3C">
        <w:tc>
          <w:tcPr>
            <w:tcW w:w="3515" w:type="dxa"/>
            <w:vAlign w:val="center"/>
          </w:tcPr>
          <w:p>
            <w:r>
              <w:t xml:space="preserve">Balance tuning may remain unstable, causing protection events or failed repeated trials.</w:t>
            </w:r>
          </w:p>
        </w:tc>
        <w:tc>
          <w:tcPr>
            <w:tcW w:w="624" w:type="dxa"/>
            <w:vAlign w:val="center"/>
          </w:tcPr>
          <w:p>
            <w:r>
              <w:t xml:space="preserve"/>
            </w:r>
          </w:p>
        </w:tc>
        <w:tc>
          <w:tcPr>
            <w:tcW w:w="624" w:type="dxa"/>
            <w:vAlign w:val="center"/>
          </w:tcPr>
          <w:p>
            <w:r>
              <w:t xml:space="preserve"/>
            </w:r>
          </w:p>
        </w:tc>
        <w:tc>
          <w:tcPr>
            <w:tcW w:w="624" w:type="dxa"/>
            <w:vAlign w:val="center"/>
          </w:tcPr>
          <w:p>
            <w:r>
              <w:t xml:space="preserve">X</w:t>
            </w:r>
          </w:p>
        </w:tc>
        <w:tc>
          <w:tcPr>
            <w:tcW w:w="624" w:type="dxa"/>
            <w:vAlign w:val="center"/>
          </w:tcPr>
          <w:p>
            <w:r>
              <w:t xml:space="preserve"/>
            </w:r>
          </w:p>
        </w:tc>
        <w:tc>
          <w:tcPr>
            <w:tcW w:w="624" w:type="dxa"/>
            <w:vAlign w:val="center"/>
          </w:tcPr>
          <w:p>
            <w:r>
              <w:t xml:space="preserve">X</w:t>
            </w:r>
          </w:p>
        </w:tc>
        <w:tc>
          <w:tcPr>
            <w:tcW w:w="624" w:type="dxa"/>
            <w:vAlign w:val="center"/>
          </w:tcPr>
          <w:p>
            <w:r>
              <w:t xml:space="preserve"/>
            </w:r>
          </w:p>
        </w:tc>
        <w:tc>
          <w:tcPr>
            <w:tcW w:w="2375" w:type="dxa"/>
            <w:vAlign w:val="center"/>
          </w:tcPr>
          <w:p>
            <w:r>
              <w:t xml:space="preserve">6</w:t>
            </w:r>
          </w:p>
        </w:tc>
        <w:tc>
          <w:tcPr>
            <w:tcW w:w="5670" w:type="dxa"/>
            <w:vAlign w:val="center"/>
          </w:tcPr>
          <w:p>
            <w:r>
              <w:t xml:space="preserve">Use incremental gain changes, supported bench tests, low-energy trials, protection-state logging and repeatable pass criteria; report failed trials instead of hiding them; keep stabilising loop local to ESP32.</w:t>
            </w:r>
          </w:p>
        </w:tc>
      </w:tr>
      <w:tr w:rsidR="00A21C3C" w14:paraId="2FDD6861" w14:textId="77777777" w:rsidTr="00A21C3C">
        <w:tc>
          <w:tcPr>
            <w:tcW w:w="3515" w:type="dxa"/>
            <w:vAlign w:val="center"/>
          </w:tcPr>
          <w:p>
            <w:r>
              <w:t xml:space="preserve">ESP32, CAN motor feedback, IMU calibration or firmware integration faults may block reliable testing.</w:t>
            </w:r>
          </w:p>
        </w:tc>
        <w:tc>
          <w:tcPr>
            <w:tcW w:w="624" w:type="dxa"/>
            <w:vAlign w:val="center"/>
          </w:tcPr>
          <w:p>
            <w:r>
              <w:t xml:space="preserve"/>
            </w:r>
          </w:p>
        </w:tc>
        <w:tc>
          <w:tcPr>
            <w:tcW w:w="624" w:type="dxa"/>
            <w:vAlign w:val="center"/>
          </w:tcPr>
          <w:p>
            <w:r>
              <w:t xml:space="preserve"/>
            </w:r>
          </w:p>
        </w:tc>
        <w:tc>
          <w:tcPr>
            <w:tcW w:w="624" w:type="dxa"/>
            <w:vAlign w:val="center"/>
          </w:tcPr>
          <w:p>
            <w:r>
              <w:t xml:space="preserve">X</w:t>
            </w:r>
          </w:p>
        </w:tc>
        <w:tc>
          <w:tcPr>
            <w:tcW w:w="624" w:type="dxa"/>
            <w:vAlign w:val="center"/>
          </w:tcPr>
          <w:p>
            <w:r>
              <w:t xml:space="preserve"/>
            </w:r>
          </w:p>
        </w:tc>
        <w:tc>
          <w:tcPr>
            <w:tcW w:w="624" w:type="dxa"/>
            <w:vAlign w:val="center"/>
          </w:tcPr>
          <w:p>
            <w:r>
              <w:t xml:space="preserve">X</w:t>
            </w:r>
          </w:p>
        </w:tc>
        <w:tc>
          <w:tcPr>
            <w:tcW w:w="624" w:type="dxa"/>
            <w:vAlign w:val="center"/>
          </w:tcPr>
          <w:p>
            <w:r>
              <w:t xml:space="preserve"/>
            </w:r>
          </w:p>
        </w:tc>
        <w:tc>
          <w:tcPr>
            <w:tcW w:w="2375" w:type="dxa"/>
            <w:vAlign w:val="center"/>
          </w:tcPr>
          <w:p>
            <w:r>
              <w:t xml:space="preserve">6</w:t>
            </w:r>
          </w:p>
        </w:tc>
        <w:tc>
          <w:tcPr>
            <w:tcW w:w="5670" w:type="dxa"/>
            <w:vAlign w:val="center"/>
          </w:tcPr>
          <w:p>
            <w:r>
              <w:t xml:space="preserve">Test IMU, CAN feedback, command parsing and motor output separately; use USB serial logs and PlatformIO builds; commit working firmware states; keep rollback points and record calibration assumptions.</w:t>
            </w:r>
          </w:p>
        </w:tc>
      </w:tr>
      <w:tr w:rsidR="00A21C3C" w14:paraId="28168ABA" w14:textId="77777777" w:rsidTr="00A21C3C">
        <w:tc>
          <w:tcPr>
            <w:tcW w:w="3515" w:type="dxa"/>
            <w:vAlign w:val="center"/>
          </w:tcPr>
          <w:p>
            <w:r>
              <w:t xml:space="preserve">WiFi TCP command latency, disconnection or host-side failure may affect teleoperation tests or demonstration reliability.</w:t>
            </w:r>
          </w:p>
        </w:tc>
        <w:tc>
          <w:tcPr>
            <w:tcW w:w="624" w:type="dxa"/>
            <w:vAlign w:val="center"/>
          </w:tcPr>
          <w:p>
            <w:r>
              <w:t xml:space="preserve"/>
            </w:r>
          </w:p>
        </w:tc>
        <w:tc>
          <w:tcPr>
            <w:tcW w:w="624" w:type="dxa"/>
            <w:vAlign w:val="center"/>
          </w:tcPr>
          <w:p>
            <w:r>
              <w:t xml:space="preserve">X</w:t>
            </w:r>
          </w:p>
        </w:tc>
        <w:tc>
          <w:tcPr>
            <w:tcW w:w="624" w:type="dxa"/>
            <w:vAlign w:val="center"/>
          </w:tcPr>
          <w:p>
            <w:r>
              <w:t xml:space="preserve"/>
            </w:r>
          </w:p>
        </w:tc>
        <w:tc>
          <w:tcPr>
            <w:tcW w:w="624" w:type="dxa"/>
            <w:vAlign w:val="center"/>
          </w:tcPr>
          <w:p>
            <w:r>
              <w:t xml:space="preserve"/>
            </w:r>
          </w:p>
        </w:tc>
        <w:tc>
          <w:tcPr>
            <w:tcW w:w="624" w:type="dxa"/>
            <w:vAlign w:val="center"/>
          </w:tcPr>
          <w:p>
            <w:r>
              <w:t xml:space="preserve">X</w:t>
            </w:r>
          </w:p>
        </w:tc>
        <w:tc>
          <w:tcPr>
            <w:tcW w:w="624" w:type="dxa"/>
            <w:vAlign w:val="center"/>
          </w:tcPr>
          <w:p>
            <w:r>
              <w:t xml:space="preserve"/>
            </w:r>
          </w:p>
        </w:tc>
        <w:tc>
          <w:tcPr>
            <w:tcW w:w="2375" w:type="dxa"/>
            <w:vAlign w:val="center"/>
          </w:tcPr>
          <w:p>
            <w:r>
              <w:t xml:space="preserve">4</w:t>
            </w:r>
          </w:p>
        </w:tc>
        <w:tc>
          <w:tcPr>
            <w:tcW w:w="5670" w:type="dxa"/>
            <w:vAlign w:val="center"/>
          </w:tcPr>
          <w:p>
            <w:r>
              <w:t xml:space="preserve">Keep WiFi outside the balance loop; use ACK-based latency measurement, direct-command watchdog, TCP idle timeout and full-stop on disconnect; demonstrate safe fallback with manual or dry-run modes.</w:t>
            </w:r>
          </w:p>
        </w:tc>
      </w:tr>
      <w:tr w:rsidR="00A21C3C" w14:paraId="2942F9EA" w14:textId="77777777" w:rsidTr="00A21C3C">
        <w:tc>
          <w:tcPr>
            <w:tcW w:w="3515" w:type="dxa"/>
            <w:vAlign w:val="center"/>
          </w:tcPr>
          <w:p>
            <w:r>
              <w:t xml:space="preserve">ROS 2 WiFi camera module or MediaPipe recognition may be unreliable because of frame rate, lighting, gesture ambiguity or framing.</w:t>
            </w:r>
          </w:p>
        </w:tc>
        <w:tc>
          <w:tcPr>
            <w:tcW w:w="624" w:type="dxa"/>
            <w:vAlign w:val="center"/>
          </w:tcPr>
          <w:p>
            <w:r>
              <w:t xml:space="preserve"/>
            </w:r>
          </w:p>
        </w:tc>
        <w:tc>
          <w:tcPr>
            <w:tcW w:w="624" w:type="dxa"/>
            <w:vAlign w:val="center"/>
          </w:tcPr>
          <w:p>
            <w:r>
              <w:t xml:space="preserve">X</w:t>
            </w:r>
          </w:p>
        </w:tc>
        <w:tc>
          <w:tcPr>
            <w:tcW w:w="624" w:type="dxa"/>
            <w:vAlign w:val="center"/>
          </w:tcPr>
          <w:p>
            <w:r>
              <w:t xml:space="preserve"/>
            </w:r>
          </w:p>
        </w:tc>
        <w:tc>
          <w:tcPr>
            <w:tcW w:w="624" w:type="dxa"/>
            <w:vAlign w:val="center"/>
          </w:tcPr>
          <w:p>
            <w:r>
              <w:t xml:space="preserve"/>
            </w:r>
          </w:p>
        </w:tc>
        <w:tc>
          <w:tcPr>
            <w:tcW w:w="624" w:type="dxa"/>
            <w:vAlign w:val="center"/>
          </w:tcPr>
          <w:p>
            <w:r>
              <w:t xml:space="preserve">X</w:t>
            </w:r>
          </w:p>
        </w:tc>
        <w:tc>
          <w:tcPr>
            <w:tcW w:w="624" w:type="dxa"/>
            <w:vAlign w:val="center"/>
          </w:tcPr>
          <w:p>
            <w:r>
              <w:t xml:space="preserve"/>
            </w:r>
          </w:p>
        </w:tc>
        <w:tc>
          <w:tcPr>
            <w:tcW w:w="2375" w:type="dxa"/>
            <w:vAlign w:val="center"/>
          </w:tcPr>
          <w:p>
            <w:r>
              <w:t xml:space="preserve">4</w:t>
            </w:r>
          </w:p>
        </w:tc>
        <w:tc>
          <w:tcPr>
            <w:tcW w:w="5670" w:type="dxa"/>
            <w:vAlign w:val="center"/>
          </w:tcPr>
          <w:p>
            <w:r>
              <w:t xml:space="preserve">Use local preview, dry-run mode, gesture confusion matrix, command debouncing/gating and manual control fallback; treat vision as supervisory teleoperation only.</w:t>
            </w:r>
          </w:p>
        </w:tc>
      </w:tr>
      <w:tr w:rsidR="00A21C3C" w14:paraId="2A425DE4" w14:textId="77777777" w:rsidTr="00A21C3C">
        <w:tc>
          <w:tcPr>
            <w:tcW w:w="3515" w:type="dxa"/>
            <w:vAlign w:val="center"/>
          </w:tcPr>
          <w:p>
            <w:r>
              <w:t xml:space="preserve">Insufficient measured data may be available before writing, causing provisional or synthetic values to remain in the final submission.</w:t>
            </w:r>
          </w:p>
        </w:tc>
        <w:tc>
          <w:tcPr>
            <w:tcW w:w="624" w:type="dxa"/>
            <w:vAlign w:val="center"/>
          </w:tcPr>
          <w:p>
            <w:r>
              <w:t xml:space="preserve"/>
            </w:r>
          </w:p>
        </w:tc>
        <w:tc>
          <w:tcPr>
            <w:tcW w:w="624" w:type="dxa"/>
            <w:vAlign w:val="center"/>
          </w:tcPr>
          <w:p>
            <w:r>
              <w:t xml:space="preserve"/>
            </w:r>
          </w:p>
        </w:tc>
        <w:tc>
          <w:tcPr>
            <w:tcW w:w="624" w:type="dxa"/>
            <w:vAlign w:val="center"/>
          </w:tcPr>
          <w:p>
            <w:r>
              <w:t xml:space="preserve">X</w:t>
            </w:r>
          </w:p>
        </w:tc>
        <w:tc>
          <w:tcPr>
            <w:tcW w:w="624" w:type="dxa"/>
            <w:vAlign w:val="center"/>
          </w:tcPr>
          <w:p>
            <w:r>
              <w:t xml:space="preserve"/>
            </w:r>
          </w:p>
        </w:tc>
        <w:tc>
          <w:tcPr>
            <w:tcW w:w="624" w:type="dxa"/>
            <w:vAlign w:val="center"/>
          </w:tcPr>
          <w:p>
            <w:r>
              <w:t xml:space="preserve">X</w:t>
            </w:r>
          </w:p>
        </w:tc>
        <w:tc>
          <w:tcPr>
            <w:tcW w:w="624" w:type="dxa"/>
            <w:vAlign w:val="center"/>
          </w:tcPr>
          <w:p>
            <w:r>
              <w:t xml:space="preserve"/>
            </w:r>
          </w:p>
        </w:tc>
        <w:tc>
          <w:tcPr>
            <w:tcW w:w="2375" w:type="dxa"/>
            <w:vAlign w:val="center"/>
          </w:tcPr>
          <w:p>
            <w:r>
              <w:t xml:space="preserve">6</w:t>
            </w:r>
          </w:p>
        </w:tc>
        <w:tc>
          <w:tcPr>
            <w:tcW w:w="5670" w:type="dxa"/>
            <w:vAlign w:val="center"/>
          </w:tcPr>
          <w:p>
            <w:r>
              <w:t xml:space="preserve">Maintain an explicit provisional-data policy; mark all synthetic rows; prioritise replacement of E1, E2, E3, E4 physical response and E9; avoid final claims based on provisional data.</w:t>
            </w:r>
          </w:p>
        </w:tc>
      </w:tr>
      <w:tr w:rsidR="00A21C3C" w14:paraId="20C617F8" w14:textId="77777777" w:rsidTr="00A21C3C">
        <w:tc>
          <w:tcPr>
            <w:tcW w:w="3515" w:type="dxa"/>
            <w:vAlign w:val="center"/>
          </w:tcPr>
          <w:p>
            <w:r>
              <w:t xml:space="preserve">Scope creep from full autonomy, advanced navigation, complex jumping or companion-computer features may dilute the core contribution.</w:t>
            </w:r>
          </w:p>
        </w:tc>
        <w:tc>
          <w:tcPr>
            <w:tcW w:w="624" w:type="dxa"/>
            <w:vAlign w:val="center"/>
          </w:tcPr>
          <w:p>
            <w:r>
              <w:t xml:space="preserve"/>
            </w:r>
          </w:p>
        </w:tc>
        <w:tc>
          <w:tcPr>
            <w:tcW w:w="624" w:type="dxa"/>
            <w:vAlign w:val="center"/>
          </w:tcPr>
          <w:p>
            <w:r>
              <w:t xml:space="preserve">X</w:t>
            </w:r>
          </w:p>
        </w:tc>
        <w:tc>
          <w:tcPr>
            <w:tcW w:w="624" w:type="dxa"/>
            <w:vAlign w:val="center"/>
          </w:tcPr>
          <w:p>
            <w:r>
              <w:t xml:space="preserve"/>
            </w:r>
          </w:p>
        </w:tc>
        <w:tc>
          <w:tcPr>
            <w:tcW w:w="624" w:type="dxa"/>
            <w:vAlign w:val="center"/>
          </w:tcPr>
          <w:p>
            <w:r>
              <w:t xml:space="preserve"/>
            </w:r>
          </w:p>
        </w:tc>
        <w:tc>
          <w:tcPr>
            <w:tcW w:w="624" w:type="dxa"/>
            <w:vAlign w:val="center"/>
          </w:tcPr>
          <w:p>
            <w:r>
              <w:t xml:space="preserve"/>
            </w:r>
          </w:p>
        </w:tc>
        <w:tc>
          <w:tcPr>
            <w:tcW w:w="624" w:type="dxa"/>
            <w:vAlign w:val="center"/>
          </w:tcPr>
          <w:p>
            <w:r>
              <w:t xml:space="preserve">X</w:t>
            </w:r>
          </w:p>
        </w:tc>
        <w:tc>
          <w:tcPr>
            <w:tcW w:w="2375" w:type="dxa"/>
            <w:vAlign w:val="center"/>
          </w:tcPr>
          <w:p>
            <w:r>
              <w:t xml:space="preserve">6</w:t>
            </w:r>
          </w:p>
        </w:tc>
        <w:tc>
          <w:tcPr>
            <w:tcW w:w="5670" w:type="dxa"/>
            <w:vAlign w:val="center"/>
          </w:tcPr>
          <w:p>
            <w:r>
              <w:t xml:space="preserve">Freeze the final contribution around embedded balance, WiFi TCP safety and ROS 2 vision teleoperation; move Raspberry Pi/Jetson autonomy and advanced locomotion to future work; align all experiments to O1-O3.</w:t>
            </w:r>
          </w:p>
        </w:tc>
      </w:tr>
      <w:tr w:rsidR="00A21C3C" w14:paraId="5FF4F1A9" w14:textId="77777777" w:rsidTr="00A21C3C">
        <w:tc>
          <w:tcPr>
            <w:tcW w:w="3515" w:type="dxa"/>
            <w:vAlign w:val="center"/>
          </w:tcPr>
          <w:p>
            <w:r>
              <w:t xml:space="preserve">Loss of source code, experiment logs, figures or planning evidence may reduce traceability and require repeated work.</w:t>
            </w:r>
          </w:p>
        </w:tc>
        <w:tc>
          <w:tcPr>
            <w:tcW w:w="624" w:type="dxa"/>
            <w:vAlign w:val="center"/>
          </w:tcPr>
          <w:p>
            <w:r>
              <w:t xml:space="preserve"/>
            </w:r>
          </w:p>
        </w:tc>
        <w:tc>
          <w:tcPr>
            <w:tcW w:w="624" w:type="dxa"/>
            <w:vAlign w:val="center"/>
          </w:tcPr>
          <w:p>
            <w:r>
              <w:t xml:space="preserve"/>
            </w:r>
          </w:p>
        </w:tc>
        <w:tc>
          <w:tcPr>
            <w:tcW w:w="624" w:type="dxa"/>
            <w:vAlign w:val="center"/>
          </w:tcPr>
          <w:p>
            <w:r>
              <w:t xml:space="preserve">X</w:t>
            </w:r>
          </w:p>
        </w:tc>
        <w:tc>
          <w:tcPr>
            <w:tcW w:w="624" w:type="dxa"/>
            <w:vAlign w:val="center"/>
          </w:tcPr>
          <w:p>
            <w:r>
              <w:t xml:space="preserve"/>
            </w:r>
          </w:p>
        </w:tc>
        <w:tc>
          <w:tcPr>
            <w:tcW w:w="624" w:type="dxa"/>
            <w:vAlign w:val="center"/>
          </w:tcPr>
          <w:p>
            <w:r>
              <w:t xml:space="preserve">X</w:t>
            </w:r>
          </w:p>
        </w:tc>
        <w:tc>
          <w:tcPr>
            <w:tcW w:w="624" w:type="dxa"/>
            <w:vAlign w:val="center"/>
          </w:tcPr>
          <w:p>
            <w:r>
              <w:t xml:space="preserve"/>
            </w:r>
          </w:p>
        </w:tc>
        <w:tc>
          <w:tcPr>
            <w:tcW w:w="2375" w:type="dxa"/>
            <w:vAlign w:val="center"/>
          </w:tcPr>
          <w:p>
            <w:r>
              <w:t xml:space="preserve">6</w:t>
            </w:r>
          </w:p>
        </w:tc>
        <w:tc>
          <w:tcPr>
            <w:tcW w:w="5670" w:type="dxa"/>
            <w:vAlign w:val="center"/>
          </w:tcPr>
          <w:p>
            <w:r>
              <w:t xml:space="preserve">Use Git/GitHub commits, maintain Progress.md, store raw CSV files under Report/appendices/E_data, keep generated figures and document major decisions after each work session.</w:t>
            </w:r>
          </w:p>
        </w:tc>
      </w:tr>
      <w:tr w:rsidR="00A21C3C" w14:paraId="77E8D976" w14:textId="77777777" w:rsidTr="00A21C3C">
        <w:tc>
          <w:tcPr>
            <w:tcW w:w="3515" w:type="dxa"/>
            <w:vAlign w:val="center"/>
          </w:tcPr>
          <w:p>
            <w:r>
              <w:t xml:space="preserve">Examination periods, vacation gaps and report-deadline pressure may reduce continuous progress and increase integration risk.</w:t>
            </w:r>
          </w:p>
        </w:tc>
        <w:tc>
          <w:tcPr>
            <w:tcW w:w="624" w:type="dxa"/>
            <w:vAlign w:val="center"/>
          </w:tcPr>
          <w:p>
            <w:r>
              <w:t xml:space="preserve"/>
            </w:r>
          </w:p>
        </w:tc>
        <w:tc>
          <w:tcPr>
            <w:tcW w:w="624" w:type="dxa"/>
            <w:vAlign w:val="center"/>
          </w:tcPr>
          <w:p>
            <w:r>
              <w:t xml:space="preserve">X</w:t>
            </w:r>
          </w:p>
        </w:tc>
        <w:tc>
          <w:tcPr>
            <w:tcW w:w="624" w:type="dxa"/>
            <w:vAlign w:val="center"/>
          </w:tcPr>
          <w:p>
            <w:r>
              <w:t xml:space="preserve"/>
            </w:r>
          </w:p>
        </w:tc>
        <w:tc>
          <w:tcPr>
            <w:tcW w:w="624" w:type="dxa"/>
            <w:vAlign w:val="center"/>
          </w:tcPr>
          <w:p>
            <w:r>
              <w:t xml:space="preserve"/>
            </w:r>
          </w:p>
        </w:tc>
        <w:tc>
          <w:tcPr>
            <w:tcW w:w="624" w:type="dxa"/>
            <w:vAlign w:val="center"/>
          </w:tcPr>
          <w:p>
            <w:r>
              <w:t xml:space="preserve"/>
            </w:r>
          </w:p>
        </w:tc>
        <w:tc>
          <w:tcPr>
            <w:tcW w:w="624" w:type="dxa"/>
            <w:vAlign w:val="center"/>
          </w:tcPr>
          <w:p>
            <w:r>
              <w:t xml:space="preserve">X</w:t>
            </w:r>
          </w:p>
        </w:tc>
        <w:tc>
          <w:tcPr>
            <w:tcW w:w="2375" w:type="dxa"/>
            <w:vAlign w:val="center"/>
          </w:tcPr>
          <w:p>
            <w:r>
              <w:t xml:space="preserve">6</w:t>
            </w:r>
          </w:p>
        </w:tc>
        <w:tc>
          <w:tcPr>
            <w:tcW w:w="5670" w:type="dxa"/>
            <w:vAlign w:val="center"/>
          </w:tcPr>
          <w:p>
            <w:r>
              <w:t xml:space="preserve">Reconstruct and update the Gantt chart; reserve final sprint time for testing/report integration; narrow scope to measurable evidence; use weekly plan and deviation notes in Appendix B.</w:t>
            </w:r>
          </w:p>
        </w:tc>
      </w:tr>
      <w:tr w:rsidR="00A21C3C" w14:paraId="0D47B5FF" w14:textId="77777777" w:rsidTr="00A21C3C">
        <w:tc>
          <w:tcPr>
            <w:tcW w:w="3515" w:type="dxa"/>
            <w:vAlign w:val="center"/>
          </w:tcPr>
          <w:p>
            <w:r>
              <w:t xml:space="preserve">Third-party code, libraries or reused reference material may not be clearly attributed, creating academic integrity or reproducibility risk.</w:t>
            </w:r>
          </w:p>
        </w:tc>
        <w:tc>
          <w:tcPr>
            <w:tcW w:w="624" w:type="dxa"/>
            <w:vAlign w:val="center"/>
          </w:tcPr>
          <w:p>
            <w:r>
              <w:t xml:space="preserve"/>
            </w:r>
          </w:p>
        </w:tc>
        <w:tc>
          <w:tcPr>
            <w:tcW w:w="624" w:type="dxa"/>
            <w:vAlign w:val="center"/>
          </w:tcPr>
          <w:p>
            <w:r>
              <w:t xml:space="preserve"/>
            </w:r>
          </w:p>
        </w:tc>
        <w:tc>
          <w:tcPr>
            <w:tcW w:w="624" w:type="dxa"/>
            <w:vAlign w:val="center"/>
          </w:tcPr>
          <w:p>
            <w:r>
              <w:t xml:space="preserve">X</w:t>
            </w:r>
          </w:p>
        </w:tc>
        <w:tc>
          <w:tcPr>
            <w:tcW w:w="624" w:type="dxa"/>
            <w:vAlign w:val="center"/>
          </w:tcPr>
          <w:p>
            <w:r>
              <w:t xml:space="preserve"/>
            </w:r>
          </w:p>
        </w:tc>
        <w:tc>
          <w:tcPr>
            <w:tcW w:w="624" w:type="dxa"/>
            <w:vAlign w:val="center"/>
          </w:tcPr>
          <w:p>
            <w:r>
              <w:t xml:space="preserve">X</w:t>
            </w:r>
          </w:p>
        </w:tc>
        <w:tc>
          <w:tcPr>
            <w:tcW w:w="624" w:type="dxa"/>
            <w:vAlign w:val="center"/>
          </w:tcPr>
          <w:p>
            <w:r>
              <w:t xml:space="preserve"/>
            </w:r>
          </w:p>
        </w:tc>
        <w:tc>
          <w:tcPr>
            <w:tcW w:w="2375" w:type="dxa"/>
            <w:vAlign w:val="center"/>
          </w:tcPr>
          <w:p>
            <w:r>
              <w:t xml:space="preserve">6</w:t>
            </w:r>
          </w:p>
        </w:tc>
        <w:tc>
          <w:tcPr>
            <w:tcW w:w="5670" w:type="dxa"/>
            <w:vAlign w:val="center"/>
          </w:tcPr>
          <w:p>
            <w:r>
              <w:t xml:space="preserve">Maintain repository README, source-attribution table, citations for libraries and algorithms, and clear distinction between original code, modified code and third-party components.</w:t>
            </w:r>
          </w:p>
        </w:tc>
      </w:tr>
    </w:tbl>
    <w:p w14:paraId="131DC2CB" w14:textId="5E7587F4" w:rsidR="00DC63DF" w:rsidRDefault="00DC63DF"/>
    <w:sectPr w:rsidR="00DC63DF" w:rsidSect="00DC63DF">
      <w:headerReference w:type="default" r:id="rId6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86267E" w14:textId="77777777" w:rsidR="00E85586" w:rsidRDefault="00E85586" w:rsidP="00DC63DF">
      <w:pPr>
        <w:spacing w:after="0" w:line="240" w:lineRule="auto"/>
      </w:pPr>
      <w:r>
        <w:separator/>
      </w:r>
    </w:p>
  </w:endnote>
  <w:endnote w:type="continuationSeparator" w:id="0">
    <w:p w14:paraId="5E0E5ADC" w14:textId="77777777" w:rsidR="00E85586" w:rsidRDefault="00E85586" w:rsidP="00DC63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544542" w14:textId="77777777" w:rsidR="00E85586" w:rsidRDefault="00E85586" w:rsidP="00DC63DF">
      <w:pPr>
        <w:spacing w:after="0" w:line="240" w:lineRule="auto"/>
      </w:pPr>
      <w:r>
        <w:separator/>
      </w:r>
    </w:p>
  </w:footnote>
  <w:footnote w:type="continuationSeparator" w:id="0">
    <w:p w14:paraId="0570126F" w14:textId="77777777" w:rsidR="00E85586" w:rsidRDefault="00E85586" w:rsidP="00DC63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84039" w14:textId="609C1243" w:rsidR="00DC63DF" w:rsidRPr="00DC63DF" w:rsidRDefault="00DC63DF" w:rsidP="00DC63DF">
    <w:pPr>
      <w:pStyle w:val="Header"/>
      <w:jc w:val="right"/>
      <w:rPr>
        <w:b/>
        <w:sz w:val="36"/>
        <w:szCs w:val="36"/>
        <w:u w:val="single"/>
      </w:rPr>
    </w:pPr>
    <w:r>
      <w:rPr>
        <w:noProof/>
        <w:lang w:eastAsia="en-GB"/>
      </w:rPr>
      <w:drawing>
        <wp:anchor distT="0" distB="0" distL="114300" distR="114300" simplePos="0" relativeHeight="251658240" behindDoc="1" locked="0" layoutInCell="1" allowOverlap="1" wp14:anchorId="7CB15D34" wp14:editId="3B517ED0">
          <wp:simplePos x="0" y="0"/>
          <wp:positionH relativeFrom="column">
            <wp:posOffset>-200025</wp:posOffset>
          </wp:positionH>
          <wp:positionV relativeFrom="paragraph">
            <wp:posOffset>-211455</wp:posOffset>
          </wp:positionV>
          <wp:extent cx="1495425" cy="633095"/>
          <wp:effectExtent l="0" t="0" r="9525" b="0"/>
          <wp:wrapThrough wrapText="bothSides">
            <wp:wrapPolygon edited="0">
              <wp:start x="0" y="0"/>
              <wp:lineTo x="0" y="20798"/>
              <wp:lineTo x="21462" y="20798"/>
              <wp:lineTo x="21462" y="0"/>
              <wp:lineTo x="0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AB_col_white_backgroun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425" cy="6330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</w:t>
    </w:r>
    <w:r w:rsidRPr="00DC63DF">
      <w:rPr>
        <w:b/>
        <w:sz w:val="36"/>
        <w:szCs w:val="36"/>
        <w:u w:val="single"/>
      </w:rPr>
      <w:t xml:space="preserve">RISK REGISTER FOR </w:t>
    </w:r>
    <w:r w:rsidR="00A21C3C">
      <w:rPr>
        <w:b/>
        <w:sz w:val="36"/>
        <w:szCs w:val="36"/>
        <w:u w:val="single"/>
      </w:rPr>
      <w:t>3</w:t>
    </w:r>
    <w:r w:rsidR="00A21C3C" w:rsidRPr="00A21C3C">
      <w:rPr>
        <w:b/>
        <w:sz w:val="36"/>
        <w:szCs w:val="36"/>
        <w:u w:val="single"/>
        <w:vertAlign w:val="superscript"/>
      </w:rPr>
      <w:t>rd</w:t>
    </w:r>
    <w:r w:rsidR="00A21C3C">
      <w:rPr>
        <w:b/>
        <w:sz w:val="36"/>
        <w:szCs w:val="36"/>
        <w:u w:val="single"/>
      </w:rPr>
      <w:t xml:space="preserve"> YEAR PROJECT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6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3DF"/>
    <w:rsid w:val="002A20CD"/>
    <w:rsid w:val="009C131F"/>
    <w:rsid w:val="00A21C3C"/>
    <w:rsid w:val="00D63133"/>
    <w:rsid w:val="00DC63DF"/>
    <w:rsid w:val="00E243B7"/>
    <w:rsid w:val="00E85586"/>
    <w:rsid w:val="00FC0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04F2A4"/>
  <w15:docId w15:val="{6CC85574-7345-4540-9B88-F2ED04BDA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63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63DF"/>
  </w:style>
  <w:style w:type="paragraph" w:styleId="Footer">
    <w:name w:val="footer"/>
    <w:basedOn w:val="Normal"/>
    <w:link w:val="FooterChar"/>
    <w:uiPriority w:val="99"/>
    <w:unhideWhenUsed/>
    <w:rsid w:val="00DC63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63DF"/>
  </w:style>
  <w:style w:type="paragraph" w:styleId="BalloonText">
    <w:name w:val="Balloon Text"/>
    <w:basedOn w:val="Normal"/>
    <w:link w:val="BalloonTextChar"/>
    <w:uiPriority w:val="99"/>
    <w:semiHidden/>
    <w:unhideWhenUsed/>
    <w:rsid w:val="00DC63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3D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C63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Manchester</Company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Ian Cotton</dc:creator>
  <cp:lastModifiedBy>Ognjen Marjanovic</cp:lastModifiedBy>
  <cp:revision>2</cp:revision>
  <dcterms:created xsi:type="dcterms:W3CDTF">2024-04-18T12:03:00Z</dcterms:created>
  <dcterms:modified xsi:type="dcterms:W3CDTF">2024-04-18T12:03:00Z</dcterms:modified>
</cp:coreProperties>
</file>