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p14">
  <w:body>
    <w:p ns2:paraId="74A924E1" ns2:textId="77777777" w:rsidR="00E243B7" w:rsidRDefault="00E243B7"/>
    <w:tbl>
      <w:tblPr>
        <w:tblStyle w:val="TableGrid"/>
        <w:tblW w:w="0" w:type="auto"/>
        <w:tblLook w:val="04A0" w:firstRow="1" w:lastRow="0" w:firstColumn="1" w:lastColumn="0" w:noHBand="0" w:noVBand="1"/>
      </w:tblPr>
      <w:tblGrid>
        <w:gridCol w:w="2230"/>
        <w:gridCol w:w="2608"/>
        <w:gridCol w:w="2608"/>
        <w:gridCol w:w="2608"/>
        <w:gridCol w:w="2608"/>
        <w:gridCol w:w="2608"/>
      </w:tblGrid>
      <w:tr w:rsidR="00DC63DF" ns2:paraId="3474106F" ns2:textId="77777777" w:rsidTr="00DC63DF">
        <w:tc>
          <w:tcPr>
            <w:tcW w:w="2230" w:type="dxa"/>
            <w:vAlign w:val="center"/>
          </w:tcPr>
          <w:p ns2:paraId="17F8B5C4" ns2:textId="5B9967DA" w:rsidR="00DC63DF" w:rsidRDefault="00A21C3C" w:rsidP="00DC63DF">
            <w:pPr>
              <w:jc w:val="center"/>
            </w:pPr>
            <w:r>
              <w:t>Project Title</w:t>
            </w:r>
            <w:r w:rsidR="00DC63DF">
              <w:t>:</w:t>
            </w:r>
          </w:p>
        </w:tc>
        <w:tc>
          <w:tcPr>
            <w:tcW w:w="5216" w:type="dxa"/>
            <w:gridSpan w:val="2"/>
            <w:vAlign w:val="center"/>
          </w:tcPr>
          <w:p>
            <w:r>
              <w:t xml:space="preserve">B-BOT: WiFi-enabled self-balancing wheel-legged robot</w:t>
            </w:r>
          </w:p>
        </w:tc>
        <w:tc>
          <w:tcPr>
            <w:tcW w:w="2608" w:type="dxa"/>
            <w:vAlign w:val="center"/>
          </w:tcPr>
          <w:p ns2:paraId="33250A55" ns2:textId="77777777" w:rsidR="00DC63DF" w:rsidRDefault="00DC63DF" w:rsidP="00DC63DF">
            <w:pPr>
              <w:jc w:val="center"/>
            </w:pPr>
            <w:r>
              <w:t>Submission Date:</w:t>
            </w:r>
          </w:p>
        </w:tc>
        <w:tc>
          <w:tcPr>
            <w:tcW w:w="5216" w:type="dxa"/>
            <w:gridSpan w:val="2"/>
            <w:vAlign w:val="center"/>
          </w:tcPr>
          <w:p>
            <w:r>
              <w:t xml:space="preserve">25 April 2026</w:t>
            </w:r>
          </w:p>
        </w:tc>
      </w:tr>
      <w:tr w:rsidR="00DC63DF" ns2:paraId="7B697346" ns2:textId="77777777" w:rsidTr="00DC63DF">
        <w:trPr>
          <w:trHeight w:val="227"/>
        </w:trPr>
        <w:tc>
          <w:tcPr>
            <w:tcW w:w="2230" w:type="dxa"/>
            <w:vAlign w:val="center"/>
          </w:tcPr>
          <w:p ns2:paraId="63A73A2E" ns2:textId="7F71E1D2" w:rsidR="00DC63DF" w:rsidRDefault="00A21C3C" w:rsidP="00DC63DF">
            <w:pPr>
              <w:jc w:val="center"/>
            </w:pPr>
            <w:r>
              <w:t>Student Name</w:t>
            </w:r>
            <w:r w:rsidR="00DC63DF">
              <w:t>:</w:t>
            </w:r>
          </w:p>
        </w:tc>
        <w:tc>
          <w:tcPr>
            <w:tcW w:w="2608" w:type="dxa"/>
            <w:vAlign w:val="center"/>
          </w:tcPr>
          <w:p>
            <w:r>
              <w:t xml:space="preserve">Botao Su</w:t>
            </w:r>
          </w:p>
        </w:tc>
        <w:tc>
          <w:tcPr>
            <w:tcW w:w="2608" w:type="dxa"/>
            <w:vAlign w:val="center"/>
          </w:tcPr>
          <w:p ns2:paraId="5ABD1617" ns2:textId="77777777" w:rsidR="00DC63DF" w:rsidRDefault="00DC63DF" w:rsidP="00DC63DF">
            <w:pPr>
              <w:jc w:val="center"/>
            </w:pPr>
          </w:p>
        </w:tc>
        <w:tc>
          <w:tcPr>
            <w:tcW w:w="2608" w:type="dxa"/>
            <w:vAlign w:val="center"/>
          </w:tcPr>
          <w:p ns2:paraId="230557C2" ns2:textId="77777777" w:rsidR="00DC63DF" w:rsidRDefault="00DC63DF" w:rsidP="00DC63DF">
            <w:pPr>
              <w:jc w:val="center"/>
            </w:pPr>
          </w:p>
        </w:tc>
        <w:tc>
          <w:tcPr>
            <w:tcW w:w="2608" w:type="dxa"/>
            <w:vAlign w:val="center"/>
          </w:tcPr>
          <w:p ns2:paraId="1F047A6E" ns2:textId="77777777" w:rsidR="00DC63DF" w:rsidRDefault="00DC63DF" w:rsidP="00DC63DF">
            <w:pPr>
              <w:jc w:val="center"/>
            </w:pPr>
          </w:p>
        </w:tc>
        <w:tc>
          <w:tcPr>
            <w:tcW w:w="2608" w:type="dxa"/>
            <w:vAlign w:val="center"/>
          </w:tcPr>
          <w:p ns2:paraId="09D99658" ns2:textId="77777777" w:rsidR="00DC63DF" w:rsidRDefault="00DC63DF" w:rsidP="00DC63DF">
            <w:pPr>
              <w:jc w:val="center"/>
            </w:pPr>
          </w:p>
        </w:tc>
      </w:tr>
    </w:tbl>
    <w:p ns2:paraId="1778454F" ns2:textId="77777777" w:rsidR="00DC63DF" w:rsidRDefault="00DC63DF"/>
    <w:tbl>
      <w:tblPr>
        <w:tblStyle w:val="TableGrid"/>
        <w:tblW w:w="15304" w:type="dxa"/>
        <w:tblLook w:val="04A0" w:firstRow="1" w:lastRow="0" w:firstColumn="1" w:lastColumn="0" w:noHBand="0" w:noVBand="1"/>
      </w:tblPr>
      <w:tblGrid>
        <w:gridCol w:w="3515"/>
        <w:gridCol w:w="624"/>
        <w:gridCol w:w="624"/>
        <w:gridCol w:w="624"/>
        <w:gridCol w:w="624"/>
        <w:gridCol w:w="624"/>
        <w:gridCol w:w="624"/>
        <w:gridCol w:w="2375"/>
        <w:gridCol w:w="5670"/>
      </w:tblGrid>
      <w:tr w:rsidR="00A21C3C" ns2:paraId="7F3FA230" ns2:textId="77777777" w:rsidTr="00A21C3C">
        <w:tc>
          <w:tcPr>
            <w:tcW w:w="3515" w:type="dxa"/>
            <w:vMerge w:val="restart"/>
            <w:vAlign w:val="center"/>
          </w:tcPr>
          <w:p ns2:paraId="7C07AB5B" ns2:textId="77777777" w:rsidR="00A21C3C" w:rsidRDefault="00A21C3C" w:rsidP="00DC63DF">
            <w:pPr>
              <w:jc w:val="center"/>
            </w:pPr>
            <w:r>
              <w:t>Project Risk</w:t>
            </w:r>
          </w:p>
        </w:tc>
        <w:tc>
          <w:tcPr>
            <w:tcW w:w="1872" w:type="dxa"/>
            <w:gridSpan w:val="3"/>
            <w:vAlign w:val="center"/>
          </w:tcPr>
          <w:p ns2:paraId="4D45C316" ns2:textId="77777777" w:rsidR="00A21C3C" w:rsidRDefault="00A21C3C" w:rsidP="00DC63DF">
            <w:pPr>
              <w:jc w:val="center"/>
            </w:pPr>
            <w:r>
              <w:t>Severity</w:t>
            </w:r>
          </w:p>
        </w:tc>
        <w:tc>
          <w:tcPr>
            <w:tcW w:w="1872" w:type="dxa"/>
            <w:gridSpan w:val="3"/>
            <w:vAlign w:val="center"/>
          </w:tcPr>
          <w:p ns2:paraId="0859F4BE" ns2:textId="77777777" w:rsidR="00A21C3C" w:rsidRDefault="00A21C3C" w:rsidP="00DC63DF">
            <w:pPr>
              <w:jc w:val="center"/>
            </w:pPr>
            <w:r>
              <w:t>Potential</w:t>
            </w:r>
          </w:p>
        </w:tc>
        <w:tc>
          <w:tcPr>
            <w:tcW w:w="2375" w:type="dxa"/>
            <w:vAlign w:val="center"/>
          </w:tcPr>
          <w:p ns2:paraId="7E0ED704" ns2:textId="77777777" w:rsidR="00A21C3C" w:rsidRDefault="00A21C3C" w:rsidP="00DC63DF">
            <w:pPr>
              <w:jc w:val="center"/>
            </w:pPr>
            <w:r>
              <w:t xml:space="preserve">Score </w:t>
            </w:r>
          </w:p>
          <w:p ns2:paraId="1A5BA4EC" ns2:textId="77777777" w:rsidR="00A21C3C" w:rsidRDefault="00A21C3C" w:rsidP="00DC63DF">
            <w:pPr>
              <w:jc w:val="center"/>
            </w:pPr>
            <w:r>
              <w:t>(Severity x Potential)</w:t>
            </w:r>
          </w:p>
        </w:tc>
        <w:tc>
          <w:tcPr>
            <w:tcW w:w="5670" w:type="dxa"/>
            <w:vAlign w:val="center"/>
          </w:tcPr>
          <w:p ns2:paraId="48D2BDF0" ns2:textId="77777777" w:rsidR="00A21C3C" w:rsidRDefault="00A21C3C" w:rsidP="00DC63DF">
            <w:pPr>
              <w:jc w:val="center"/>
            </w:pPr>
            <w:r>
              <w:t>Mitigation Measures</w:t>
            </w:r>
          </w:p>
        </w:tc>
      </w:tr>
      <w:tr w:rsidR="00A21C3C" ns2:paraId="200114CE" ns2:textId="77777777" w:rsidTr="00A21C3C">
        <w:tc>
          <w:tcPr>
            <w:tcW w:w="3515" w:type="dxa"/>
            <w:vMerge/>
            <w:vAlign w:val="center"/>
          </w:tcPr>
          <w:p ns2:paraId="473E0891" ns2:textId="77777777" w:rsidR="00A21C3C" w:rsidRDefault="00A21C3C" w:rsidP="00DC63DF">
            <w:pPr>
              <w:jc w:val="center"/>
            </w:pPr>
          </w:p>
        </w:tc>
        <w:tc>
          <w:tcPr>
            <w:tcW w:w="624" w:type="dxa"/>
            <w:vAlign w:val="center"/>
          </w:tcPr>
          <w:p ns2:paraId="31DB89B4" ns2:textId="77777777" w:rsidR="00A21C3C" w:rsidRDefault="00A21C3C" w:rsidP="00DC63DF">
            <w:pPr>
              <w:jc w:val="center"/>
            </w:pPr>
            <w:r>
              <w:t>L</w:t>
            </w:r>
          </w:p>
        </w:tc>
        <w:tc>
          <w:tcPr>
            <w:tcW w:w="624" w:type="dxa"/>
            <w:vAlign w:val="center"/>
          </w:tcPr>
          <w:p ns2:paraId="4E3E8EDD" ns2:textId="77777777" w:rsidR="00A21C3C" w:rsidRDefault="00A21C3C" w:rsidP="00DC63DF">
            <w:pPr>
              <w:jc w:val="center"/>
            </w:pPr>
            <w:r>
              <w:t>M</w:t>
            </w:r>
          </w:p>
        </w:tc>
        <w:tc>
          <w:tcPr>
            <w:tcW w:w="624" w:type="dxa"/>
            <w:vAlign w:val="center"/>
          </w:tcPr>
          <w:p ns2:paraId="50FB9145" ns2:textId="77777777" w:rsidR="00A21C3C" w:rsidRDefault="00A21C3C" w:rsidP="00DC63DF">
            <w:pPr>
              <w:jc w:val="center"/>
            </w:pPr>
            <w:r>
              <w:t>H</w:t>
            </w:r>
          </w:p>
        </w:tc>
        <w:tc>
          <w:tcPr>
            <w:tcW w:w="624" w:type="dxa"/>
            <w:vAlign w:val="center"/>
          </w:tcPr>
          <w:p ns2:paraId="5E00EDDD" ns2:textId="77777777" w:rsidR="00A21C3C" w:rsidRDefault="00A21C3C" w:rsidP="00DC63DF">
            <w:pPr>
              <w:jc w:val="center"/>
            </w:pPr>
            <w:r>
              <w:t>L</w:t>
            </w:r>
          </w:p>
        </w:tc>
        <w:tc>
          <w:tcPr>
            <w:tcW w:w="624" w:type="dxa"/>
            <w:vAlign w:val="center"/>
          </w:tcPr>
          <w:p ns2:paraId="64B22368" ns2:textId="77777777" w:rsidR="00A21C3C" w:rsidRDefault="00A21C3C" w:rsidP="00DC63DF">
            <w:pPr>
              <w:jc w:val="center"/>
            </w:pPr>
            <w:r>
              <w:t>M</w:t>
            </w:r>
          </w:p>
        </w:tc>
        <w:tc>
          <w:tcPr>
            <w:tcW w:w="624" w:type="dxa"/>
            <w:vAlign w:val="center"/>
          </w:tcPr>
          <w:p ns2:paraId="21052ABE" ns2:textId="77777777" w:rsidR="00A21C3C" w:rsidRDefault="00A21C3C" w:rsidP="00DC63DF">
            <w:pPr>
              <w:jc w:val="center"/>
            </w:pPr>
            <w:r>
              <w:t>H</w:t>
            </w:r>
          </w:p>
        </w:tc>
        <w:tc>
          <w:tcPr>
            <w:tcW w:w="2375" w:type="dxa"/>
            <w:vAlign w:val="center"/>
          </w:tcPr>
          <w:p ns2:paraId="5E458C52" ns2:textId="77777777" w:rsidR="00A21C3C" w:rsidRDefault="00A21C3C" w:rsidP="00DC63DF">
            <w:pPr>
              <w:jc w:val="center"/>
            </w:pPr>
            <w:r>
              <w:t>L=1, M=2, H=3</w:t>
            </w:r>
          </w:p>
        </w:tc>
        <w:tc>
          <w:tcPr>
            <w:tcW w:w="5670" w:type="dxa"/>
            <w:vAlign w:val="center"/>
          </w:tcPr>
          <w:p ns2:paraId="2D2502B4" ns2:textId="77777777" w:rsidR="00A21C3C" w:rsidRDefault="00A21C3C" w:rsidP="00DC63DF">
            <w:pPr>
              <w:jc w:val="center"/>
            </w:pPr>
          </w:p>
        </w:tc>
      </w:tr>
      <w:tr w:rsidR="00A21C3C" ns2:paraId="2562E2C4" ns2:textId="77777777" w:rsidTr="00A21C3C">
        <w:tc>
          <w:tcPr>
            <w:tcW w:w="3515" w:type="dxa"/>
            <w:vAlign w:val="center"/>
          </w:tcPr>
          <w:p>
            <w:r>
              <w:t xml:space="preserve">High-torque wheel or leg motors may pinch fingers, catch clothing, or move unexpectedly during practical testing.</w:t>
            </w:r>
          </w:p>
        </w:tc>
        <w:tc>
          <w:tcPr>
            <w:tcW w:w="624" w:type="dxa"/>
            <w:vAlign w:val="center"/>
          </w:tcPr>
          <w:p>
            <w:r>
              <w:t xml:space="preserve"/>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2375" w:type="dxa"/>
            <w:vAlign w:val="center"/>
          </w:tcPr>
          <w:p>
            <w:r>
              <w:t xml:space="preserve">6</w:t>
            </w:r>
          </w:p>
        </w:tc>
        <w:tc>
          <w:tcPr>
            <w:tcW w:w="5670" w:type="dxa"/>
            <w:vAlign w:val="center"/>
          </w:tcPr>
          <w:p>
            <w:r>
              <w:t xml:space="preserve">Keep hands, clothing and tools clear of wheels and joints while powered. Make mechanical adjustments only when motors are disabled or power is isolated. Start with low-energy bench tests before free-standing tests.</w:t>
            </w:r>
          </w:p>
        </w:tc>
      </w:tr>
      <w:tr w:rsidR="00A21C3C" ns2:paraId="02EFF559" ns2:textId="77777777" w:rsidTr="00A21C3C">
        <w:tc>
          <w:tcPr>
            <w:tcW w:w="3515" w:type="dxa"/>
            <w:vAlign w:val="center"/>
          </w:tcPr>
          <w:p>
            <w:r>
              <w:t xml:space="preserve">The self-balancing robot may fall during free-standing balance, disturbance, leg-length, jump or cross-step tests.</w:t>
            </w:r>
          </w:p>
        </w:tc>
        <w:tc>
          <w:tcPr>
            <w:tcW w:w="624" w:type="dxa"/>
            <w:vAlign w:val="center"/>
          </w:tcPr>
          <w:p>
            <w:r>
              <w:t xml:space="preserve"/>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2375" w:type="dxa"/>
            <w:vAlign w:val="center"/>
          </w:tcPr>
          <w:p>
            <w:r>
              <w:t xml:space="preserve">6</w:t>
            </w:r>
          </w:p>
        </w:tc>
        <w:tc>
          <w:tcPr>
            <w:tcW w:w="5670" w:type="dxa"/>
            <w:vAlign w:val="center"/>
          </w:tcPr>
          <w:p>
            <w:r>
              <w:t xml:space="preserve">Use a clear test area, keep bystanders away, begin with the robot supported or restrained, avoid standing in the fall path, and keep power isolation within reach. Record failed trials rather than repeating unsafe attempts.</w:t>
            </w:r>
          </w:p>
        </w:tc>
      </w:tr>
      <w:tr w:rsidR="00A21C3C" ns2:paraId="2FDD6861" ns2:textId="77777777" w:rsidTr="00A21C3C">
        <w:tc>
          <w:tcPr>
            <w:tcW w:w="3515" w:type="dxa"/>
            <w:vAlign w:val="center"/>
          </w:tcPr>
          <w:p>
            <w:r>
              <w:t xml:space="preserve">Battery, wiring or PCB fault may cause short circuit, overheating, smoke, or damaged electronics during integration.</w:t>
            </w:r>
          </w:p>
        </w:tc>
        <w:tc>
          <w:tcPr>
            <w:tcW w:w="624" w:type="dxa"/>
            <w:vAlign w:val="center"/>
          </w:tcPr>
          <w:p>
            <w:r>
              <w:t xml:space="preserve"/>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2375" w:type="dxa"/>
            <w:vAlign w:val="center"/>
          </w:tcPr>
          <w:p>
            <w:r>
              <w:t xml:space="preserve">6</w:t>
            </w:r>
          </w:p>
        </w:tc>
        <w:tc>
          <w:tcPr>
            <w:tcW w:w="5670" w:type="dxa"/>
            <w:vAlign w:val="center"/>
          </w:tcPr>
          <w:p>
            <w:r>
              <w:t xml:space="preserve">Inspect polarity and insulation before power-up, avoid exposed conductors, use conservative bench power where possible, stop immediately if heat/smell is detected, and do not leave powered hardware unattended.</w:t>
            </w:r>
          </w:p>
        </w:tc>
      </w:tr>
      <w:tr w:rsidR="00A21C3C" ns2:paraId="28168ABA" ns2:textId="77777777" w:rsidTr="00A21C3C">
        <w:tc>
          <w:tcPr>
            <w:tcW w:w="3515" w:type="dxa"/>
            <w:vAlign w:val="center"/>
          </w:tcPr>
          <w:p>
            <w:r>
              <w:t xml:space="preserve">Soldering PCB, wiring harnesses and motor leads may cause burns or fume exposure.</w:t>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2375" w:type="dxa"/>
            <w:vAlign w:val="center"/>
          </w:tcPr>
          <w:p>
            <w:r>
              <w:t xml:space="preserve">4</w:t>
            </w:r>
          </w:p>
        </w:tc>
        <w:tc>
          <w:tcPr>
            <w:tcW w:w="5670" w:type="dxa"/>
            <w:vAlign w:val="center"/>
          </w:tcPr>
          <w:p>
            <w:r>
              <w:t xml:space="preserve">Use an iron stand, work in a ventilated area, avoid touching recently soldered joints, keep cables supported while cooling, and follow lab soldering practice.</w:t>
            </w:r>
          </w:p>
        </w:tc>
      </w:tr>
      <w:tr w:rsidR="00A21C3C" ns2:paraId="2942F9EA" ns2:textId="77777777" w:rsidTr="00A21C3C">
        <w:tc>
          <w:tcPr>
            <w:tcW w:w="3515" w:type="dxa"/>
            <w:vAlign w:val="center"/>
          </w:tcPr>
          <w:p>
            <w:r>
              <w:t xml:space="preserve">WiFi, BLE or vision-generated commands may trigger unexpected motion during software or presentation testing.</w:t>
            </w:r>
          </w:p>
        </w:tc>
        <w:tc>
          <w:tcPr>
            <w:tcW w:w="624" w:type="dxa"/>
            <w:vAlign w:val="center"/>
          </w:tcPr>
          <w:p>
            <w:r>
              <w:t xml:space="preserve"/>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2375" w:type="dxa"/>
            <w:vAlign w:val="center"/>
          </w:tcPr>
          <w:p>
            <w:r>
              <w:t xml:space="preserve">6</w:t>
            </w:r>
          </w:p>
        </w:tc>
        <w:tc>
          <w:tcPr>
            <w:tcW w:w="5670" w:type="dxa"/>
            <w:vAlign w:val="center"/>
          </w:tcPr>
          <w:p>
            <w:r>
              <w:t xml:space="preserve">Use dry-run mode for initial vision tests, secure the robot when testing command generation, keep stunt actions disabled unless explicitly armed, rely on watchdogs/full-stop behaviour, and test stop commands before motion.</w:t>
            </w:r>
          </w:p>
        </w:tc>
      </w:tr>
      <w:tr w:rsidR="00A21C3C" ns2:paraId="2A425DE4" ns2:textId="77777777" w:rsidTr="00A21C3C">
        <w:tc>
          <w:tcPr>
            <w:tcW w:w="3515" w:type="dxa"/>
            <w:vAlign w:val="center"/>
          </w:tcPr>
          <w:p>
            <w:r>
              <w:t xml:space="preserve">Sharp 3D-printed parts, PCB edges or cut wires may cause minor cuts during assembly and modification.</w:t>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624" w:type="dxa"/>
            <w:vAlign w:val="center"/>
          </w:tcPr>
          <w:p>
            <w:r>
              <w:t xml:space="preserve"/>
            </w:r>
          </w:p>
        </w:tc>
        <w:tc>
          <w:tcPr>
            <w:tcW w:w="2375" w:type="dxa"/>
            <w:vAlign w:val="center"/>
          </w:tcPr>
          <w:p>
            <w:r>
              <w:t xml:space="preserve">2</w:t>
            </w:r>
          </w:p>
        </w:tc>
        <w:tc>
          <w:tcPr>
            <w:tcW w:w="5670" w:type="dxa"/>
            <w:vAlign w:val="center"/>
          </w:tcPr>
          <w:p>
            <w:r>
              <w:t xml:space="preserve">Deburr or file sharp edges, trim wire ends, handle PCBs by edges, and use appropriate hand protection when modifying parts.</w:t>
            </w:r>
          </w:p>
        </w:tc>
      </w:tr>
      <w:tr w:rsidR="00A21C3C" ns2:paraId="20C617F8" ns2:textId="77777777" w:rsidTr="00A21C3C">
        <w:tc>
          <w:tcPr>
            <w:tcW w:w="3515" w:type="dxa"/>
            <w:vAlign w:val="center"/>
          </w:tcPr>
          <w:p>
            <w:r>
              <w:t xml:space="preserve">USB, power or camera cables may create trip hazards or pull the robot from the bench during debugging.</w:t>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624" w:type="dxa"/>
            <w:vAlign w:val="center"/>
          </w:tcPr>
          <w:p>
            <w:r>
              <w:t xml:space="preserve"/>
            </w:r>
          </w:p>
        </w:tc>
        <w:tc>
          <w:tcPr>
            <w:tcW w:w="2375" w:type="dxa"/>
            <w:vAlign w:val="center"/>
          </w:tcPr>
          <w:p>
            <w:r>
              <w:t xml:space="preserve">2</w:t>
            </w:r>
          </w:p>
        </w:tc>
        <w:tc>
          <w:tcPr>
            <w:tcW w:w="5670" w:type="dxa"/>
            <w:vAlign w:val="center"/>
          </w:tcPr>
          <w:p>
            <w:r>
              <w:t xml:space="preserve">Route cables away from walkways, keep slack controlled, avoid testing near bench edges, and disconnect unnecessary cables before moving tests.</w:t>
            </w:r>
          </w:p>
        </w:tc>
      </w:tr>
      <w:tr w:rsidR="00A21C3C" ns2:paraId="5FF4F1A9" ns2:textId="77777777" w:rsidTr="00A21C3C">
        <w:tc>
          <w:tcPr>
            <w:tcW w:w="3515" w:type="dxa"/>
            <w:vAlign w:val="center"/>
          </w:tcPr>
          <w:p>
            <w:r>
              <w:t xml:space="preserve">Eye/face injury or impact may occur if a moving robot, wheel, printed part, or loose connector fails during dynamic tests.</w:t>
            </w:r>
          </w:p>
        </w:tc>
        <w:tc>
          <w:tcPr>
            <w:tcW w:w="624" w:type="dxa"/>
            <w:vAlign w:val="center"/>
          </w:tcPr>
          <w:p>
            <w:r>
              <w:t xml:space="preserve"/>
            </w:r>
          </w:p>
        </w:tc>
        <w:tc>
          <w:tcPr>
            <w:tcW w:w="624" w:type="dxa"/>
            <w:vAlign w:val="center"/>
          </w:tcPr>
          <w:p>
            <w:r>
              <w:t xml:space="preserve"/>
            </w:r>
          </w:p>
        </w:tc>
        <w:tc>
          <w:tcPr>
            <w:tcW w:w="624" w:type="dxa"/>
            <w:vAlign w:val="center"/>
          </w:tcPr>
          <w:p>
            <w:r>
              <w:t xml:space="preserve">X</w:t>
            </w:r>
          </w:p>
        </w:tc>
        <w:tc>
          <w:tcPr>
            <w:tcW w:w="624" w:type="dxa"/>
            <w:vAlign w:val="center"/>
          </w:tcPr>
          <w:p>
            <w:r>
              <w:t xml:space="preserve">X</w:t>
            </w:r>
          </w:p>
        </w:tc>
        <w:tc>
          <w:tcPr>
            <w:tcW w:w="624" w:type="dxa"/>
            <w:vAlign w:val="center"/>
          </w:tcPr>
          <w:p>
            <w:r>
              <w:t xml:space="preserve"/>
            </w:r>
          </w:p>
        </w:tc>
        <w:tc>
          <w:tcPr>
            <w:tcW w:w="624" w:type="dxa"/>
            <w:vAlign w:val="center"/>
          </w:tcPr>
          <w:p>
            <w:r>
              <w:t xml:space="preserve"/>
            </w:r>
          </w:p>
        </w:tc>
        <w:tc>
          <w:tcPr>
            <w:tcW w:w="2375" w:type="dxa"/>
            <w:vAlign w:val="center"/>
          </w:tcPr>
          <w:p>
            <w:r>
              <w:t xml:space="preserve">3</w:t>
            </w:r>
          </w:p>
        </w:tc>
        <w:tc>
          <w:tcPr>
            <w:tcW w:w="5670" w:type="dxa"/>
            <w:vAlign w:val="center"/>
          </w:tcPr>
          <w:p>
            <w:r>
              <w:t xml:space="preserve">Check mechanical fasteners and wiring before tests, avoid high-energy stunt tests unless secured, maintain safe distance, and stop testing if vibration or loose parts are observed.</w:t>
            </w:r>
          </w:p>
        </w:tc>
      </w:tr>
      <w:tr w:rsidR="00A21C3C" ns2:paraId="77E8D976" ns2:textId="77777777" w:rsidTr="00A21C3C">
        <w:tc>
          <w:tcPr>
            <w:tcW w:w="3515" w:type="dxa"/>
            <w:vAlign w:val="center"/>
          </w:tcPr>
          <w:p>
            <w:r>
              <w:t xml:space="preserve">Fatigue and time pressure near the report deadline may lead to rushed or unsafe practical testing.</w:t>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2375" w:type="dxa"/>
            <w:vAlign w:val="center"/>
          </w:tcPr>
          <w:p>
            <w:r>
              <w:t xml:space="preserve">4</w:t>
            </w:r>
          </w:p>
        </w:tc>
        <w:tc>
          <w:tcPr>
            <w:tcW w:w="5670" w:type="dxa"/>
            <w:vAlign w:val="center"/>
          </w:tcPr>
          <w:p>
            <w:r>
              <w:t xml:space="preserve">Use written test procedures, define stop criteria before testing, avoid late-night risky hardware tests, and prioritise safe repeated measurements over risky demonstrations.</w:t>
            </w:r>
          </w:p>
        </w:tc>
      </w:tr>
      <w:tr w:rsidR="00A21C3C" ns2:paraId="0D47B5FF" ns2:textId="77777777" w:rsidTr="00A21C3C">
        <w:tc>
          <w:tcPr>
            <w:tcW w:w="3515" w:type="dxa"/>
            <w:vAlign w:val="center"/>
          </w:tcPr>
          <w:p>
            <w:r>
              <w:t xml:space="preserve">Loss of experiment data, code versions, or planning evidence may reduce project traceability and encourage repeated tests.</w:t>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624" w:type="dxa"/>
            <w:vAlign w:val="center"/>
          </w:tcPr>
          <w:p>
            <w:r>
              <w:t xml:space="preserve"/>
            </w:r>
          </w:p>
        </w:tc>
        <w:tc>
          <w:tcPr>
            <w:tcW w:w="624" w:type="dxa"/>
            <w:vAlign w:val="center"/>
          </w:tcPr>
          <w:p>
            <w:r>
              <w:t xml:space="preserve">X</w:t>
            </w:r>
          </w:p>
        </w:tc>
        <w:tc>
          <w:tcPr>
            <w:tcW w:w="624" w:type="dxa"/>
            <w:vAlign w:val="center"/>
          </w:tcPr>
          <w:p>
            <w:r>
              <w:t xml:space="preserve"/>
            </w:r>
          </w:p>
        </w:tc>
        <w:tc>
          <w:tcPr>
            <w:tcW w:w="2375" w:type="dxa"/>
            <w:vAlign w:val="center"/>
          </w:tcPr>
          <w:p>
            <w:r>
              <w:t xml:space="preserve">4</w:t>
            </w:r>
          </w:p>
        </w:tc>
        <w:tc>
          <w:tcPr>
            <w:tcW w:w="5670" w:type="dxa"/>
            <w:vAlign w:val="center"/>
          </w:tcPr>
          <w:p>
            <w:r>
              <w:t xml:space="preserve">Commit code and report changes to Git, keep raw CSV logs and generated figures, record provisional data clearly, and maintain Progress.md and appendix evidence after major work.</w:t>
            </w:r>
          </w:p>
        </w:tc>
      </w:tr>
    </w:tbl>
    <w:p ns2:paraId="131DC2CB" ns2:textId="5E7587F4" w:rsidR="00DC63DF" w:rsidRDefault="00DC63DF"/>
    <w:sectPr w:rsidR="00DC63DF" w:rsidSect="00DC63DF">
      <w:headerReference w:type="default" ns3:id="rId6"/>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86267E" w14:textId="77777777" w:rsidR="00E85586" w:rsidRDefault="00E85586" w:rsidP="00DC63DF">
      <w:pPr>
        <w:spacing w:after="0" w:line="240" w:lineRule="auto"/>
      </w:pPr>
      <w:r>
        <w:separator/>
      </w:r>
    </w:p>
  </w:endnote>
  <w:endnote w:type="continuationSeparator" w:id="0">
    <w:p w14:paraId="5E0E5ADC" w14:textId="77777777" w:rsidR="00E85586" w:rsidRDefault="00E85586" w:rsidP="00DC6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544542" w14:textId="77777777" w:rsidR="00E85586" w:rsidRDefault="00E85586" w:rsidP="00DC63DF">
      <w:pPr>
        <w:spacing w:after="0" w:line="240" w:lineRule="auto"/>
      </w:pPr>
      <w:r>
        <w:separator/>
      </w:r>
    </w:p>
  </w:footnote>
  <w:footnote w:type="continuationSeparator" w:id="0">
    <w:p w14:paraId="0570126F" w14:textId="77777777" w:rsidR="00E85586" w:rsidRDefault="00E85586" w:rsidP="00DC6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984039" w14:textId="609C1243" w:rsidR="00DC63DF" w:rsidRPr="00DC63DF" w:rsidRDefault="00DC63DF" w:rsidP="00DC63DF">
    <w:pPr>
      <w:pStyle w:val="Header"/>
      <w:jc w:val="right"/>
      <w:rPr>
        <w:b/>
        <w:sz w:val="36"/>
        <w:szCs w:val="36"/>
        <w:u w:val="single"/>
      </w:rPr>
    </w:pPr>
    <w:r>
      <w:rPr>
        <w:noProof/>
        <w:lang w:eastAsia="en-GB"/>
      </w:rPr>
      <w:drawing>
        <wp:anchor distT="0" distB="0" distL="114300" distR="114300" simplePos="0" relativeHeight="251658240" behindDoc="1" locked="0" layoutInCell="1" allowOverlap="1" wp14:anchorId="7CB15D34" wp14:editId="3B517ED0">
          <wp:simplePos x="0" y="0"/>
          <wp:positionH relativeFrom="column">
            <wp:posOffset>-200025</wp:posOffset>
          </wp:positionH>
          <wp:positionV relativeFrom="paragraph">
            <wp:posOffset>-211455</wp:posOffset>
          </wp:positionV>
          <wp:extent cx="1495425" cy="633095"/>
          <wp:effectExtent l="0" t="0" r="9525" b="0"/>
          <wp:wrapThrough wrapText="bothSides">
            <wp:wrapPolygon edited="0">
              <wp:start x="0" y="0"/>
              <wp:lineTo x="0" y="20798"/>
              <wp:lineTo x="21462" y="20798"/>
              <wp:lineTo x="2146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_col_white_backgroun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5425" cy="633095"/>
                  </a:xfrm>
                  <a:prstGeom prst="rect">
                    <a:avLst/>
                  </a:prstGeom>
                </pic:spPr>
              </pic:pic>
            </a:graphicData>
          </a:graphic>
          <wp14:sizeRelH relativeFrom="page">
            <wp14:pctWidth>0</wp14:pctWidth>
          </wp14:sizeRelH>
          <wp14:sizeRelV relativeFrom="page">
            <wp14:pctHeight>0</wp14:pctHeight>
          </wp14:sizeRelV>
        </wp:anchor>
      </w:drawing>
    </w:r>
    <w:r>
      <w:t xml:space="preserve">  </w:t>
    </w:r>
    <w:r w:rsidRPr="00DC63DF">
      <w:rPr>
        <w:b/>
        <w:sz w:val="36"/>
        <w:szCs w:val="36"/>
        <w:u w:val="single"/>
      </w:rPr>
      <w:t xml:space="preserve">RISK REGISTER FOR </w:t>
    </w:r>
    <w:r w:rsidR="00A21C3C">
      <w:rPr>
        <w:b/>
        <w:sz w:val="36"/>
        <w:szCs w:val="36"/>
        <w:u w:val="single"/>
      </w:rPr>
      <w:t>3</w:t>
    </w:r>
    <w:r w:rsidR="00A21C3C" w:rsidRPr="00A21C3C">
      <w:rPr>
        <w:b/>
        <w:sz w:val="36"/>
        <w:szCs w:val="36"/>
        <w:u w:val="single"/>
        <w:vertAlign w:val="superscript"/>
      </w:rPr>
      <w:t>rd</w:t>
    </w:r>
    <w:r w:rsidR="00A21C3C">
      <w:rPr>
        <w:b/>
        <w:sz w:val="36"/>
        <w:szCs w:val="36"/>
        <w:u w:val="single"/>
      </w:rPr>
      <w:t xml:space="preserve"> YEAR PROJECT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6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63DF"/>
    <w:rsid w:val="002A20CD"/>
    <w:rsid w:val="009C131F"/>
    <w:rsid w:val="00A21C3C"/>
    <w:rsid w:val="00D63133"/>
    <w:rsid w:val="00DC63DF"/>
    <w:rsid w:val="00E243B7"/>
    <w:rsid w:val="00E85586"/>
    <w:rsid w:val="00FC05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04F2A4"/>
  <w15:docId w15:val="{6CC85574-7345-4540-9B88-F2ED04BD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3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63DF"/>
  </w:style>
  <w:style w:type="paragraph" w:styleId="Footer">
    <w:name w:val="footer"/>
    <w:basedOn w:val="Normal"/>
    <w:link w:val="FooterChar"/>
    <w:uiPriority w:val="99"/>
    <w:unhideWhenUsed/>
    <w:rsid w:val="00DC63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63DF"/>
  </w:style>
  <w:style w:type="paragraph" w:styleId="BalloonText">
    <w:name w:val="Balloon Text"/>
    <w:basedOn w:val="Normal"/>
    <w:link w:val="BalloonTextChar"/>
    <w:uiPriority w:val="99"/>
    <w:semiHidden/>
    <w:unhideWhenUsed/>
    <w:rsid w:val="00DC63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63DF"/>
    <w:rPr>
      <w:rFonts w:ascii="Tahoma" w:hAnsi="Tahoma" w:cs="Tahoma"/>
      <w:sz w:val="16"/>
      <w:szCs w:val="16"/>
    </w:rPr>
  </w:style>
  <w:style w:type="table" w:styleId="TableGrid">
    <w:name w:val="Table Grid"/>
    <w:basedOn w:val="TableNormal"/>
    <w:uiPriority w:val="59"/>
    <w:rsid w:val="00DC63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40</Words>
  <Characters>230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Cotton</dc:creator>
  <cp:lastModifiedBy>Ognjen Marjanovic</cp:lastModifiedBy>
  <cp:revision>2</cp:revision>
  <dcterms:created xsi:type="dcterms:W3CDTF">2024-04-18T12:03:00Z</dcterms:created>
  <dcterms:modified xsi:type="dcterms:W3CDTF">2024-04-18T12:03:00Z</dcterms:modified>
</cp:coreProperties>
</file>