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44"/>
          <w:szCs w:val="44"/>
        </w:rPr>
        <w:t xml:space="preserve">Is a $2 generic too cheap?</w:t>
      </w:r>
    </w:p>
    <w:p>
      <w:pPr>
        <w:spacing w:after="140" w:line="276"/>
        <w:rPr>
          <w:color w:val="555555"/>
          <w:sz w:val="24"/>
          <w:szCs w:val="24"/>
        </w:rPr>
      </w:pPr>
      <w:r>
        <w:rPr>
          <w:i/>
          <w:iCs/>
          <w:color w:val="555555"/>
          <w:sz w:val="24"/>
          <w:szCs w:val="24"/>
        </w:rPr>
        <w:t xml:space="preserve">What one cancer drug tells us about who pays for medicine, and who gets it</w:t>
      </w:r>
    </w:p>
    <w:p>
      <w:pPr>
        <w:spacing w:after="140" w:line="276"/>
        <w:rPr>
          <w:color w:val="777777"/>
          <w:sz w:val="18"/>
          <w:szCs w:val="18"/>
        </w:rPr>
      </w:pPr>
      <w:r>
        <w:rPr>
          <w:color w:val="777777"/>
          <w:sz w:val="18"/>
          <w:szCs w:val="18"/>
        </w:rPr>
        <w:t xml:space="preserve">[Author names] · Explainer accompanying "One Molecule, Two Markets" · draft of 25 October 2026</w:t>
      </w:r>
    </w:p>
    <w:p>
      <w:pPr>
        <w:spacing w:after="140" w:line="276"/>
      </w:pPr>
      <w:r>
        <w:t xml:space="preserve">Imatinib is the leukemia pill behind an estimated 83.3% ten-year survival in its landmark trial (Hochhaus et al., 2017). A day of it cost $295.34 in the United States in a 2016 comparison. The lowest-priced Indian generic cost $2.20 for the same 400 mg daily dose. One American day of treatment paid for 134 Indian days. Same molecule, same dose, same study (Hill et al., 2016).</w:t>
      </w:r>
    </w:p>
    <w:p>
      <w:pPr>
        <w:spacing w:after="140" w:line="276"/>
      </w:pPr>
      <w:r>
        <w:t xml:space="preserve">The easy reading of those numbers is that the American price is a rip-off and India got it right. In 2013 India's Supreme Court refused Novartis a patent on a new form of the drug, and generics stayed on the market (Gabble &amp; Kohler, 2014). That reading is half true. The other half is the part that makes the economics hard.</w:t>
      </w:r>
    </w:p>
    <w:p>
      <w:pPr>
        <w:pStyle w:val="Heading2"/>
        <w:keepNext/>
        <w:keepLines/>
      </w:pPr>
      <w:r>
        <w:t xml:space="preserve">Somebody paid for the $2 pill</w:t>
      </w:r>
    </w:p>
    <w:p>
      <w:pPr>
        <w:spacing w:after="140" w:line="276"/>
      </w:pPr>
      <w:r>
        <w:t xml:space="preserve">A generic is cheap partly because it skipped the expensive part. Only 3.4% of cancer drug programs that entered clinical trials between 2000 and 2015 reached approval (Wong et al., 2019). Count the failures and the cost of the money tied up for years, and the median investment behind each approved cancer drug comes to about $2.77 billion in 2018 dollars (Wouters et al., 2020).</w:t>
      </w:r>
    </w:p>
    <w:p>
      <w:pPr>
        <w:spacing w:after="140" w:line="276"/>
      </w:pPr>
      <w:r>
        <w:t xml:space="preserve">Spread that over a 20-year patent at the 10.5% cost of capital the estimate uses, and the drug has to earn about $337 million a year, after its own costs, just to pay back its development. Cut the protected years to five and the bill rises to about $741 million a year. That is the arithmetic a patent exists to solve: a firm will only spend the $2.77 billion if it expects to get it back before anyone can copy the result.</w:t>
      </w:r>
    </w:p>
    <w:p>
      <w:pPr>
        <w:spacing w:after="140" w:line="276"/>
      </w:pPr>
      <w:r>
        <w:t xml:space="preserve">So the $2.20 Indian pill is not proof that medicine could cost $2.20 everywhere. If every market paid $2.20, the next imatinib might never be developed.</w:t>
      </w:r>
    </w:p>
    <w:p>
      <w:pPr>
        <w:pStyle w:val="Heading2"/>
        <w:keepNext/>
        <w:keepLines/>
      </w:pPr>
      <w:r>
        <w:t xml:space="preserve">What happens when the prize shrinks</w:t>
      </w:r>
    </w:p>
    <w:p>
      <w:pPr>
        <w:spacing w:after="140" w:line="276"/>
      </w:pPr>
      <w:r>
        <w:t xml:space="preserve">Our artifact lets readers run this as a game. Two firms race for one patent and can invest heavily, lightly, or not at all. The dollar figures in the game are illustrative, chosen to show the pattern rather than to describe any real market, but the pattern is the point. With a long patent and a big prize, both firms overspend, duplicating each other's research; economists have long argued that a winner-take-all race can push research past what society needs (Dasgupta &amp; Stiglitz, 1980). Shorten the time before generics arrive and the prize shrinks. First the race calms down. Then only one firm can afford to try. Then, at the shortest horizon, neither firm invests and no drug gets made.</w:t>
      </w:r>
    </w:p>
    <w:p>
      <w:pPr>
        <w:spacing w:after="140" w:line="276"/>
      </w:pPr>
      <w:r>
        <w:t xml:space="preserve">Too much protection wastes money. Too little produces nothing to protect.</w:t>
      </w:r>
    </w:p>
    <w:p>
      <w:pPr>
        <w:pStyle w:val="Heading2"/>
        <w:keepNext/>
        <w:keepLines/>
      </w:pPr>
      <w:r>
        <w:t xml:space="preserve">Then why not one fair global price?</w:t>
      </w:r>
    </w:p>
    <w:p>
      <w:pPr>
        <w:spacing w:after="140" w:line="276"/>
      </w:pPr>
      <w:r>
        <w:t xml:space="preserve">It sounds fair. The evidence says it would hurt the poorest patients most. Research is a cost shared across every market, and the efficient way to fund a shared cost is for the people most able to pay to cover most of it, while poorer markets pay closer to the cost of making the pill (Danzon &amp; Towse, 2003). When low prices leak across borders through reference pricing and parallel trade, firms respond by delaying or skipping launches in low-price countries. Across 25 major markets in the 1990s, only about 55% of the possible launches of 85 new drugs actually happened (Danzon et al., 2005). A single world price would tend to settle near the rich-country price, and the patients in poorer countries would simply go without.</w:t>
      </w:r>
    </w:p>
    <w:p>
      <w:pPr>
        <w:pStyle w:val="Heading2"/>
        <w:keepNext/>
        <w:keepLines/>
      </w:pPr>
      <w:r>
        <w:t xml:space="preserve">But patents are not a blank check either</w:t>
      </w:r>
    </w:p>
    <w:p>
      <w:pPr>
        <w:spacing w:after="140" w:line="276"/>
      </w:pPr>
      <w:r>
        <w:t xml:space="preserve">The case for patents has limits, and the evidence shows where they are. When developing countries introduced pharmaceutical patents under global trade rules, it was not followed by more research into the diseases that mainly affect the poorest countries (Kyle &amp; McGahan, 2012). Patents pay for research that rich markets will buy. They do not, by themselves, pay for research that only poor patients need.</w:t>
      </w:r>
    </w:p>
    <w:p>
      <w:pPr>
        <w:spacing w:after="140" w:line="276"/>
      </w:pPr>
      <w:r>
        <w:t xml:space="preserve">And price is not the same as what people pay. In India, 39.4% of all health spending in 2021–22 came straight out of patients' pockets (Ministry of Health and Family Welfare, 2024), so the pharmacy price is close to the real price. In the United States, list prices are cut by confidential rebates, estimated at $335 billion on brand-name drugs in 2023 (Drug Channels Institute, 2024), and Medicare's first negotiated prices, 38% to 79% below list, take effect in January 2026 (Centers for Medicare &amp; Medicaid Services, 2024). The $295 American day overstates what an insurer pays. The Indian price is roughly what a family pays.</w:t>
      </w:r>
    </w:p>
    <w:p>
      <w:pPr>
        <w:pStyle w:val="Heading2"/>
        <w:keepNext/>
        <w:keepLines/>
      </w:pPr>
      <w:r>
        <w:t xml:space="preserve">What the price means to the person paying it</w:t>
      </w:r>
    </w:p>
    <w:p>
      <w:pPr>
        <w:spacing w:after="140" w:line="276"/>
      </w:pPr>
      <w:r>
        <w:t xml:space="preserve">Take a second drug from the same story. In 2012 Bayer's kidney and liver cancer drug Nexavar cost about Rs 2.8 lakh a month in India. After the government granted a compulsory license, Natco's generic cost Rs 8,800 (Knowledge at Wharton, 2012). At the rural employment guarantee wage then in force in Uttar Pradesh, Rs 120 a day, one month of the patented drug cost 2,333 days of work. The generic cost 73. The World Health Organization calls a monthly medicine affordable at one day's wage. Neither price meets that test. But 73 days is a hard year; 2,333 days is more than six years of daily wages for one month of pills.</w:t>
      </w:r>
    </w:p>
    <w:p>
      <w:pPr>
        <w:pStyle w:val="Heading2"/>
        <w:keepNext/>
        <w:keepLines/>
      </w:pPr>
      <w:r>
        <w:t xml:space="preserve">So, is $2 too cheap?</w:t>
      </w:r>
    </w:p>
    <w:p>
      <w:pPr>
        <w:spacing w:after="140" w:line="276"/>
      </w:pPr>
      <w:r>
        <w:t xml:space="preserve">No. But it is only possible because someone, somewhere, paid $295.</w:t>
      </w:r>
    </w:p>
    <w:p>
      <w:pPr>
        <w:spacing w:after="140" w:line="276"/>
      </w:pPr>
      <w:r>
        <w:t xml:space="preserve">The honest conclusion is not that India is right and America is wrong, or the reverse. It is that cheap generics in poor countries and expensive brands in rich ones are two halves of one system that pays for new drugs. The policy fights worth having are about the shape of that system: how long exclusivity should last, how much of the bill rich countries should carry, how far prices should be allowed to leak across borders, and who pays for the medicines that no rich market will buy. Readers can try each of these choices themselves in the artifact, and watch what they cost.</w:t>
      </w:r>
    </w:p>
    <w:p>
      <w:pPr>
        <w:pStyle w:val="Heading2"/>
        <w:keepNext/>
        <w:keepLines/>
      </w:pPr>
      <w:r>
        <w:t xml:space="preserve">Sources</w:t>
      </w:r>
    </w:p>
    <w:p>
      <w:pPr>
        <w:pStyle w:val="ListParagraph"/>
        <w:numPr>
          <w:ilvl w:val="0"/>
          <w:numId w:val="2"/>
        </w:numPr>
        <w:spacing w:after="80" w:line="276"/>
      </w:pPr>
      <w:r>
        <w:t xml:space="preserve">Centers for Medicare &amp; Medicaid Services. (2024, August 15). Negotiating for lower drug prices works, saves billions [Press release].</w:t>
      </w:r>
    </w:p>
    <w:p>
      <w:pPr>
        <w:pStyle w:val="ListParagraph"/>
        <w:numPr>
          <w:ilvl w:val="0"/>
          <w:numId w:val="2"/>
        </w:numPr>
        <w:spacing w:after="80" w:line="276"/>
      </w:pPr>
      <w:r>
        <w:t xml:space="preserve">Danzon, P. M., &amp; Towse, A. (2003). Differential pricing for pharmaceuticals. International Journal of Health Care Finance and Economics, 3(3), 183–205.</w:t>
      </w:r>
    </w:p>
    <w:p>
      <w:pPr>
        <w:pStyle w:val="ListParagraph"/>
        <w:numPr>
          <w:ilvl w:val="0"/>
          <w:numId w:val="2"/>
        </w:numPr>
        <w:spacing w:after="80" w:line="276"/>
      </w:pPr>
      <w:r>
        <w:t xml:space="preserve">Danzon, P. M., Wang, Y. R., &amp; Wang, L. (2005). The impact of price regulation on the launch delay of new drugs. Health Economics, 14(3), 269–292.</w:t>
      </w:r>
    </w:p>
    <w:p>
      <w:pPr>
        <w:pStyle w:val="ListParagraph"/>
        <w:numPr>
          <w:ilvl w:val="0"/>
          <w:numId w:val="2"/>
        </w:numPr>
        <w:spacing w:after="80" w:line="276"/>
      </w:pPr>
      <w:r>
        <w:t xml:space="preserve">Dasgupta, P., &amp; Stiglitz, J. (1980). Uncertainty, industrial structure, and the speed of R&amp;D. The Bell Journal of Economics, 11(1).</w:t>
      </w:r>
    </w:p>
    <w:p>
      <w:pPr>
        <w:pStyle w:val="ListParagraph"/>
        <w:numPr>
          <w:ilvl w:val="0"/>
          <w:numId w:val="2"/>
        </w:numPr>
        <w:spacing w:after="80" w:line="276"/>
      </w:pPr>
      <w:r>
        <w:t xml:space="preserve">Drug Channels Institute. (2024, July 23). Gross-to-net bubble update: 2023 pricing realities at 10 top drugmakers.</w:t>
      </w:r>
    </w:p>
    <w:p>
      <w:pPr>
        <w:pStyle w:val="ListParagraph"/>
        <w:numPr>
          <w:ilvl w:val="0"/>
          <w:numId w:val="2"/>
        </w:numPr>
        <w:spacing w:after="80" w:line="276"/>
      </w:pPr>
      <w:r>
        <w:t xml:space="preserve">Gabble, R., &amp; Kohler, J. C. (2014). To patent or not to patent? The case of Novartis' cancer drug Glivec in India. Globalization and Health, 10, 3.</w:t>
      </w:r>
    </w:p>
    <w:p>
      <w:pPr>
        <w:pStyle w:val="ListParagraph"/>
        <w:numPr>
          <w:ilvl w:val="0"/>
          <w:numId w:val="2"/>
        </w:numPr>
        <w:spacing w:after="80" w:line="276"/>
      </w:pPr>
      <w:r>
        <w:t xml:space="preserve">Hill, A., et al. (2016). Target prices for mass production of tyrosine kinase inhibitors for global cancer treatment. BMJ Open, 6(1), e009586.</w:t>
      </w:r>
    </w:p>
    <w:p>
      <w:pPr>
        <w:pStyle w:val="ListParagraph"/>
        <w:numPr>
          <w:ilvl w:val="0"/>
          <w:numId w:val="2"/>
        </w:numPr>
        <w:spacing w:after="80" w:line="276"/>
      </w:pPr>
      <w:r>
        <w:t xml:space="preserve">Hochhaus, A., et al. (2017). Long-term outcomes of imatinib treatment for chronic myeloid leukemia. New England Journal of Medicine, 376(10), 917–927.</w:t>
      </w:r>
    </w:p>
    <w:p>
      <w:pPr>
        <w:pStyle w:val="ListParagraph"/>
        <w:numPr>
          <w:ilvl w:val="0"/>
          <w:numId w:val="2"/>
        </w:numPr>
        <w:spacing w:after="80" w:line="276"/>
      </w:pPr>
      <w:r>
        <w:t xml:space="preserve">Knowledge at Wharton. (2012, April 19). Sparring over sorafenib: How will Natco's move against Bayer affect pharma licensing? University of Pennsylvania.</w:t>
      </w:r>
    </w:p>
    <w:p>
      <w:pPr>
        <w:pStyle w:val="ListParagraph"/>
        <w:numPr>
          <w:ilvl w:val="0"/>
          <w:numId w:val="2"/>
        </w:numPr>
        <w:spacing w:after="80" w:line="276"/>
      </w:pPr>
      <w:r>
        <w:t xml:space="preserve">Kyle, M. K., &amp; McGahan, A. M. (2012). Investments in pharmaceuticals before and after TRIPS. The Review of Economics and Statistics, 94(4), 1157–1172.</w:t>
      </w:r>
    </w:p>
    <w:p>
      <w:pPr>
        <w:pStyle w:val="ListParagraph"/>
        <w:numPr>
          <w:ilvl w:val="0"/>
          <w:numId w:val="2"/>
        </w:numPr>
        <w:spacing w:after="80" w:line="276"/>
      </w:pPr>
      <w:r>
        <w:t xml:space="preserve">Ministry of Health and Family Welfare. (2024). National Health Account estimates 2020-21 and 2021-22. Press Information Bureau.</w:t>
      </w:r>
    </w:p>
    <w:p>
      <w:pPr>
        <w:pStyle w:val="ListParagraph"/>
        <w:numPr>
          <w:ilvl w:val="0"/>
          <w:numId w:val="2"/>
        </w:numPr>
        <w:spacing w:after="80" w:line="276"/>
      </w:pPr>
      <w:r>
        <w:t xml:space="preserve">Ministry of Rural Development. (2011). Notification S.O. 82(E): MGNREGA wage rates from 1 January 2011.</w:t>
      </w:r>
    </w:p>
    <w:p>
      <w:pPr>
        <w:pStyle w:val="ListParagraph"/>
        <w:numPr>
          <w:ilvl w:val="0"/>
          <w:numId w:val="2"/>
        </w:numPr>
        <w:spacing w:after="80" w:line="276"/>
      </w:pPr>
      <w:r>
        <w:t xml:space="preserve">Wong, C. H., Siah, K. W., &amp; Lo, A. W. (2019). Estimation of clinical trial success rates and related parameters. Biostatistics, 20(2), 273–286.</w:t>
      </w:r>
    </w:p>
    <w:p>
      <w:pPr>
        <w:pStyle w:val="ListParagraph"/>
        <w:numPr>
          <w:ilvl w:val="0"/>
          <w:numId w:val="2"/>
        </w:numPr>
        <w:spacing w:after="80" w:line="276"/>
      </w:pPr>
      <w:r>
        <w:t xml:space="preserve">Wouters, O. J., McKee, M., &amp; Luyten, J. (2020). Estimated research and development investment needed to bring a new medicine to market, 2009–2018. JAMA, 323(9), 844–853 (corrected 2022).</w:t>
      </w:r>
    </w:p>
    <w:p>
      <w:pPr>
        <w:spacing w:after="100"/>
      </w:pPr>
      <w:r>
        <w:rPr>
          <w:color w:val="555555"/>
          <w:sz w:val="18"/>
          <w:szCs w:val="18"/>
        </w:rPr>
        <w:t xml:space="preserve">Full references with DOIs are in Paper_Revisions_Replacements.docx, section 10. About 1,000 words.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Explainer · One Molecule, Two Markets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A4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2A44"/>
      <w:sz w:val="25"/>
      <w:szCs w:val="25"/>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a $2 generic too cheap?</dc:title>
  <dc:creator>Adhiraj Bhagawati</dc:creator>
  <cp:lastModifiedBy>Un-named</cp:lastModifiedBy>
  <cp:revision>1</cp:revision>
  <dcterms:created xsi:type="dcterms:W3CDTF">2026-10-25T17:30:45.746Z</dcterms:created>
  <dcterms:modified xsi:type="dcterms:W3CDTF">2026-10-25T17:30:45.746Z</dcterms:modified>
</cp:coreProperties>
</file>

<file path=docProps/custom.xml><?xml version="1.0" encoding="utf-8"?>
<Properties xmlns="http://schemas.openxmlformats.org/officeDocument/2006/custom-properties" xmlns:vt="http://schemas.openxmlformats.org/officeDocument/2006/docPropsVTypes"/>
</file>