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A44"/>
          <w:sz w:val="40"/>
          <w:szCs w:val="40"/>
        </w:rPr>
        <w:t xml:space="preserve">Section-by-Section Explainer Guide</w:t>
      </w:r>
    </w:p>
    <w:p>
      <w:pPr>
        <w:spacing w:after="140" w:line="276"/>
        <w:rPr>
          <w:color w:val="555555"/>
        </w:rPr>
      </w:pPr>
      <w:r>
        <w:rPr>
          <w:i/>
          <w:iCs/>
          <w:color w:val="555555"/>
        </w:rPr>
        <w:t xml:space="preserve">One Molecule, Two Markets</w:t>
      </w:r>
      <w:r>
        <w:rPr>
          <w:color w:val="555555"/>
        </w:rPr>
        <w:t xml:space="preserve">: the economics of generic drugs in India. Version 1.6.0, 26 October 2026.</w:t>
      </w:r>
    </w:p>
    <w:p>
      <w:pPr>
        <w:spacing w:after="140" w:line="276"/>
      </w:pPr>
      <w:r>
        <w:t xml:space="preserve">This guide explains every interactive section of the website (Condition A) in plain language: what it shows, what to do with it, what it teaches, and where its numbers come from. The desktop game (Condition B) covers the same ten modules with the same numbers, read from one shared model in </w:t>
      </w:r>
      <w:r>
        <w:rPr>
          <w:rFonts w:ascii="Consolas" w:cs="Consolas" w:eastAsia="Consolas" w:hAnsi="Consolas"/>
          <w:sz w:val="19"/>
          <w:szCs w:val="19"/>
        </w:rPr>
        <w:t xml:space="preserve">script.js</w:t>
      </w:r>
      <w:r>
        <w:t xml:space="preserve">, so this guide describes both.</w:t>
      </w:r>
    </w:p>
    <w:p>
      <w:pPr>
        <w:spacing w:after="140" w:line="276"/>
      </w:pPr>
      <w:r>
        <w:rPr>
          <w:b/>
          <w:bCs/>
        </w:rPr>
        <w:t xml:space="preserve">What changed from version 1.4.</w:t>
      </w:r>
      <w:r>
        <w:t xml:space="preserve"> Section 1 now uses imatinib (Gleevec) rather than Daraprim. A new section 2, the pipeline, puts the case for patents before the legal cases. The supply-and-demand section was removed. Section 5 is now about QALYs and the coverage rule. The diffusion curve is called S-shaped, not epidemic. The patent race has a sensitivity control. Section 10 adds comparisons outside the OECD. Several figures were corrected after checking them against their sources. The old guide is kept as </w:t>
      </w:r>
      <w:r>
        <w:rPr>
          <w:rFonts w:ascii="Consolas" w:cs="Consolas" w:eastAsia="Consolas" w:hAnsi="Consolas"/>
          <w:sz w:val="19"/>
          <w:szCs w:val="19"/>
        </w:rPr>
        <w:t xml:space="preserve">Doc/Website_Explainer_Guide_v1.4_old.docx</w:t>
      </w:r>
      <w:r>
        <w:t xml:space="preserve">.</w:t>
      </w:r>
    </w:p>
    <w:p>
      <w:pPr>
        <w:pStyle w:val="Heading1"/>
        <w:keepNext/>
        <w:keepLines/>
      </w:pPr>
      <w:r>
        <w:t xml:space="preserve">How the page is organized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100"/>
        <w:gridCol w:w="2900"/>
        <w:gridCol w:w="2526"/>
      </w:tblGrid>
      <w:tr>
        <w:trPr>
          <w:tblHeader/>
        </w:trPr>
        <w:tc>
          <w:tcPr>
            <w:tcW w:type="dxa" w:w="500"/>
            <w:tcBorders>
              <w:top w:val="single" w:color="BFBFBF" w:sz="4"/>
              <w:left w:val="single" w:color="BFBFBF" w:sz="4"/>
              <w:bottom w:val="single" w:color="BFBFBF" w:sz="4"/>
              <w:right w:val="single" w:color="BFBFBF" w:sz="4"/>
            </w:tcBorders>
            <w:shd w:fill="E7ECF2" w:color="auto" w:val="clear"/>
            <w:tcMar>
              <w:top w:type="dxa" w:w="60"/>
              <w:left w:type="dxa" w:w="100"/>
              <w:bottom w:type="dxa" w:w="60"/>
              <w:right w:type="dxa" w:w="100"/>
            </w:tcMar>
          </w:tcPr>
          <w:p>
            <w:pPr>
              <w:spacing w:after="40"/>
            </w:pPr>
            <w:r>
              <w:rPr>
                <w:b/>
                <w:bCs/>
                <w:sz w:val="18"/>
                <w:szCs w:val="18"/>
              </w:rPr>
              <w:t xml:space="preserve">#</w:t>
            </w:r>
          </w:p>
        </w:tc>
        <w:tc>
          <w:tcPr>
            <w:tcW w:type="dxa" w:w="3100"/>
            <w:tcBorders>
              <w:top w:val="single" w:color="BFBFBF" w:sz="4"/>
              <w:left w:val="single" w:color="BFBFBF" w:sz="4"/>
              <w:bottom w:val="single" w:color="BFBFBF" w:sz="4"/>
              <w:right w:val="single" w:color="BFBFBF" w:sz="4"/>
            </w:tcBorders>
            <w:shd w:fill="E7ECF2" w:color="auto" w:val="clear"/>
            <w:tcMar>
              <w:top w:type="dxa" w:w="60"/>
              <w:left w:type="dxa" w:w="100"/>
              <w:bottom w:type="dxa" w:w="60"/>
              <w:right w:type="dxa" w:w="100"/>
            </w:tcMar>
          </w:tcPr>
          <w:p>
            <w:pPr>
              <w:spacing w:after="40"/>
            </w:pPr>
            <w:r>
              <w:rPr>
                <w:b/>
                <w:bCs/>
                <w:sz w:val="18"/>
                <w:szCs w:val="18"/>
              </w:rPr>
              <w:t xml:space="preserve">Section</w:t>
            </w:r>
          </w:p>
        </w:tc>
        <w:tc>
          <w:tcPr>
            <w:tcW w:type="dxa" w:w="2900"/>
            <w:tcBorders>
              <w:top w:val="single" w:color="BFBFBF" w:sz="4"/>
              <w:left w:val="single" w:color="BFBFBF" w:sz="4"/>
              <w:bottom w:val="single" w:color="BFBFBF" w:sz="4"/>
              <w:right w:val="single" w:color="BFBFBF" w:sz="4"/>
            </w:tcBorders>
            <w:shd w:fill="E7ECF2" w:color="auto" w:val="clear"/>
            <w:tcMar>
              <w:top w:type="dxa" w:w="60"/>
              <w:left w:type="dxa" w:w="100"/>
              <w:bottom w:type="dxa" w:w="60"/>
              <w:right w:type="dxa" w:w="100"/>
            </w:tcMar>
          </w:tcPr>
          <w:p>
            <w:pPr>
              <w:spacing w:after="40"/>
            </w:pPr>
            <w:r>
              <w:rPr>
                <w:b/>
                <w:bCs/>
                <w:sz w:val="18"/>
                <w:szCs w:val="18"/>
              </w:rPr>
              <w:t xml:space="preserve">Concept</w:t>
            </w:r>
          </w:p>
        </w:tc>
        <w:tc>
          <w:tcPr>
            <w:tcW w:type="dxa" w:w="2526"/>
            <w:tcBorders>
              <w:top w:val="single" w:color="BFBFBF" w:sz="4"/>
              <w:left w:val="single" w:color="BFBFBF" w:sz="4"/>
              <w:bottom w:val="single" w:color="BFBFBF" w:sz="4"/>
              <w:right w:val="single" w:color="BFBFBF" w:sz="4"/>
            </w:tcBorders>
            <w:shd w:fill="E7ECF2" w:color="auto" w:val="clear"/>
            <w:tcMar>
              <w:top w:type="dxa" w:w="60"/>
              <w:left w:type="dxa" w:w="100"/>
              <w:bottom w:type="dxa" w:w="60"/>
              <w:right w:type="dxa" w:w="100"/>
            </w:tcMar>
          </w:tcPr>
          <w:p>
            <w:pPr>
              <w:spacing w:after="40"/>
            </w:pPr>
            <w:r>
              <w:rPr>
                <w:b/>
                <w:bCs/>
                <w:sz w:val="18"/>
                <w:szCs w:val="18"/>
              </w:rPr>
              <w:t xml:space="preserve">Main control</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Molecular Scrollyteller</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Price versus cost</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US / India toggle on a 3D molecule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Pipeline: Why Patents Exist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R&amp;D attrition, cost, recovery</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Candidates slider; exclusivity slider</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3</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Legal Labyrinth</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Patent law and its limits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Rule on six real cases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4</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Macro-Economics &amp; Social Returns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Surplus, generic entry, financing</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Competitor slider; procurement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5</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Health Economics: QALYs and the Coverage Decision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Cost-effectiveness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Cost-per-patient slider</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6</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Technological Diffusion &amp; Global Trade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S-shaped diffusion; export markets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Timeline; map nodes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7</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Human Metric</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Affordability; Lerner index</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Drug market and wage selectors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8</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Antitrust Policy &amp; Innovation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HHI; inverted-U</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Number of firms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9</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Game Theory: The Patent Race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Duplicated R&amp;D; sensitivity</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Stage buttons; High / Low / Stay out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10</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Global Benchmarks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Generic paradox; comparable economies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Read the chart and panel</w:t>
            </w:r>
          </w:p>
        </w:tc>
      </w:tr>
    </w:tbl>
    <w:p>
      <w:pPr>
        <w:spacing w:after="140" w:line="276"/>
      </w:pPr>
      <w:r>
        <w:t xml:space="preserve">Two sections are linked. Your ruling on imatinib in section 3 (case 2, Novartis v. Union of India) decides whether the market in section 4 is open to generics. Nothing else on the page carries over; in the game, three more choices carry forward (see section 3.2.4 of the paper).</w:t>
      </w:r>
    </w:p>
    <w:p>
      <w:pPr>
        <w:pStyle w:val="Heading1"/>
        <w:keepNext/>
        <w:keepLines/>
      </w:pPr>
      <w:r>
        <w:t xml:space="preserve">1. The Molecular Scrollyteller: Imatinib (Gleevec)</w:t>
      </w:r>
    </w:p>
    <w:p>
      <w:pPr>
        <w:pStyle w:val="Heading3"/>
        <w:keepNext/>
        <w:keepLines/>
      </w:pPr>
      <w:r>
        <w:t xml:space="preserve">What you see</w:t>
      </w:r>
    </w:p>
    <w:p>
      <w:pPr>
        <w:spacing w:after="140" w:line="276"/>
      </w:pPr>
      <w:r>
        <w:t xml:space="preserve">A rotating 3D model of imatinib (C29H31N7O, PubChem CID 5291), the leukemia drug sold by Novartis as Gleevec in the US and Glivec elsewhere. A toggle switches between the US market and the Indian generic market, and the model and price change with it.</w:t>
      </w:r>
    </w:p>
    <w:p>
      <w:pPr>
        <w:pStyle w:val="Heading3"/>
        <w:keepNext/>
        <w:keepLines/>
      </w:pPr>
      <w:r>
        <w:t xml:space="preserve">What to do</w:t>
      </w:r>
    </w:p>
    <w:p>
      <w:pPr>
        <w:spacing w:after="140" w:line="276"/>
      </w:pPr>
      <w:r>
        <w:t xml:space="preserve">Click between the two markets. Read the "Comparison basis &amp; citations" panel: it says exactly what is being compared.</w:t>
      </w:r>
    </w:p>
    <w:p>
      <w:pPr>
        <w:pStyle w:val="Heading3"/>
        <w:keepNext/>
        <w:keepLines/>
      </w:pPr>
      <w:r>
        <w:t xml:space="preserve">What it teaches</w:t>
      </w:r>
    </w:p>
    <w:p>
      <w:pPr>
        <w:spacing w:after="140" w:line="276"/>
      </w:pPr>
      <w:r>
        <w:t xml:space="preserve">The molecule is the same in both markets; only the price differs. Price is set by patents, law and market structure, not by the cost of making the pill.</w:t>
      </w:r>
    </w:p>
    <w:p>
      <w:pPr>
        <w:pStyle w:val="Heading3"/>
        <w:keepNext/>
        <w:keepLines/>
      </w:pPr>
      <w:r>
        <w:t xml:space="preserve">Key numbers and sources</w:t>
      </w:r>
    </w:p>
    <w:p>
      <w:pPr>
        <w:pStyle w:val="ListParagraph"/>
        <w:numPr>
          <w:ilvl w:val="0"/>
          <w:numId w:val="2"/>
        </w:numPr>
        <w:spacing w:after="80" w:line="276"/>
      </w:pPr>
      <w:r>
        <w:t xml:space="preserve">Basis: imatinib 400 mg once daily, priced per day of treatment (price per person-year ÷ 365), one study.</w:t>
      </w:r>
    </w:p>
    <w:p>
      <w:pPr>
        <w:pStyle w:val="ListParagraph"/>
        <w:numPr>
          <w:ilvl w:val="0"/>
          <w:numId w:val="2"/>
        </w:numPr>
        <w:spacing w:after="80" w:line="276"/>
      </w:pPr>
      <w:r>
        <w:t xml:space="preserve">United States $107,799 a year = $295.34 a day; India, lowest generic, $803 a year = $2.20 a day. One US day buys about 134 Indian days (Hill et al., 2016, Discussion and Figure 3A).</w:t>
      </w:r>
    </w:p>
    <w:p>
      <w:pPr>
        <w:pStyle w:val="ListParagraph"/>
        <w:numPr>
          <w:ilvl w:val="0"/>
          <w:numId w:val="2"/>
        </w:numPr>
        <w:spacing w:after="80" w:line="276"/>
      </w:pPr>
      <w:r>
        <w:t xml:space="preserve">US price per pill rose from $92.74 (2010) to $179.93 (2014), strength not reported (Kodjak, NPR, 2016).</w:t>
      </w:r>
    </w:p>
    <w:p>
      <w:pPr>
        <w:pStyle w:val="ListParagraph"/>
        <w:numPr>
          <w:ilvl w:val="0"/>
          <w:numId w:val="2"/>
        </w:numPr>
        <w:spacing w:after="80" w:line="276"/>
      </w:pPr>
      <w:r>
        <w:t xml:space="preserve">Recent, shown alongside but not in the ratio: Medicare Part D 2024 spent $233.96 per Gleevec dosage unit and $33.39 per generic one, before rebates (CMS). On 25 Oct 2026, 1mg listed 400 mg imatinib tablets from Rs 25 to Rs 213.2.</w:t>
      </w:r>
    </w:p>
    <w:p>
      <w:pPr>
        <w:pStyle w:val="Heading1"/>
        <w:keepNext/>
        <w:keepLines/>
      </w:pPr>
      <w:r>
        <w:t xml:space="preserve">2. The Pipeline: Why Patents Exist</w:t>
      </w:r>
    </w:p>
    <w:p>
      <w:pPr>
        <w:pStyle w:val="Heading3"/>
        <w:keepNext/>
        <w:keepLines/>
      </w:pPr>
      <w:r>
        <w:t xml:space="preserve">What you see</w:t>
      </w:r>
    </w:p>
    <w:p>
      <w:pPr>
        <w:spacing w:after="140" w:line="276"/>
      </w:pPr>
      <w:r>
        <w:t xml:space="preserve">A trial pipeline for candidate cancer drugs, with two sliders and a chart of the yearly revenue a drug must earn to pay back its development.</w:t>
      </w:r>
    </w:p>
    <w:p>
      <w:pPr>
        <w:pStyle w:val="Heading3"/>
        <w:keepNext/>
        <w:keepLines/>
      </w:pPr>
      <w:r>
        <w:t xml:space="preserve">What to do</w:t>
      </w:r>
    </w:p>
    <w:p>
      <w:pPr>
        <w:spacing w:after="140" w:line="276"/>
      </w:pPr>
      <w:r>
        <w:t xml:space="preserve">Move "Candidate cancer drugs entering trials" until the expected number of approvals reaches 1 (about 30 candidates). Then shorten "Exclusivity before generics enter" and watch the required revenue climb.</w:t>
      </w:r>
    </w:p>
    <w:p>
      <w:pPr>
        <w:pStyle w:val="Heading3"/>
        <w:keepNext/>
        <w:keepLines/>
      </w:pPr>
      <w:r>
        <w:t xml:space="preserve">What it teaches</w:t>
      </w:r>
    </w:p>
    <w:p>
      <w:pPr>
        <w:spacing w:after="140" w:line="276"/>
      </w:pPr>
      <w:r>
        <w:t xml:space="preserve">This is the case for patents, made first. Most candidates fail, and the few that succeed must pay for the failures. A patent gives a period in which rivals cannot copy the drug so that cost can be recovered. The section also gives the counter-case and its limits.</w:t>
      </w:r>
    </w:p>
    <w:p>
      <w:pPr>
        <w:pStyle w:val="Heading3"/>
        <w:keepNext/>
        <w:keepLines/>
      </w:pPr>
      <w:r>
        <w:t xml:space="preserve">Key numbers and sources</w:t>
      </w:r>
    </w:p>
    <w:p>
      <w:pPr>
        <w:pStyle w:val="ListParagraph"/>
        <w:numPr>
          <w:ilvl w:val="0"/>
          <w:numId w:val="2"/>
        </w:numPr>
        <w:spacing w:after="80" w:line="276"/>
      </w:pPr>
      <w:r>
        <w:t xml:space="preserve">Success rate 3.4% for oncology programs in trials, 2000–2015 (Wong et al., 2019).</w:t>
      </w:r>
    </w:p>
    <w:p>
      <w:pPr>
        <w:pStyle w:val="ListParagraph"/>
        <w:numPr>
          <w:ilvl w:val="0"/>
          <w:numId w:val="2"/>
        </w:numPr>
        <w:spacing w:after="80" w:line="276"/>
      </w:pPr>
      <w:r>
        <w:t xml:space="preserve">Median capitalized R&amp;D per approved drug $1,141.7M; $2,771.6M for antineoplastic and immunomodulating agents, 2018 dollars (Wouters et al., 2020, corrected 2022). Industry-data estimate $2,558M (DiMasi et al., 2016).</w:t>
      </w:r>
    </w:p>
    <w:p>
      <w:pPr>
        <w:pStyle w:val="ListParagraph"/>
        <w:numPr>
          <w:ilvl w:val="0"/>
          <w:numId w:val="2"/>
        </w:numPr>
        <w:spacing w:after="80" w:line="276"/>
      </w:pPr>
      <w:r>
        <w:t xml:space="preserve">Recovery formula R = C·r / (1 − (1 + r)^−T), r = 10.5%: $337M a year over 20 years, $461M over 10, $741M over 5.</w:t>
      </w:r>
    </w:p>
    <w:p>
      <w:pPr>
        <w:pStyle w:val="ListParagraph"/>
        <w:numPr>
          <w:ilvl w:val="0"/>
          <w:numId w:val="2"/>
        </w:numPr>
        <w:spacing w:after="80" w:line="276"/>
      </w:pPr>
      <w:r>
        <w:t xml:space="preserve">Patent term at least 20 years from filing (TRIPS, Art. 33).</w:t>
      </w:r>
    </w:p>
    <w:p>
      <w:pPr>
        <w:pStyle w:val="ListParagraph"/>
        <w:numPr>
          <w:ilvl w:val="0"/>
          <w:numId w:val="2"/>
        </w:numPr>
        <w:spacing w:after="80" w:line="276"/>
      </w:pPr>
      <w:r>
        <w:t xml:space="preserve">Counter-case: differential pricing (Danzon &amp; Towse, 2003); launch delays when low prices spill over (Danzon, Wang &amp; Wang, 2005); no rise in research on diseases of poor countries after patents arrived there (Kyle &amp; McGahan, 2012).</w:t>
      </w:r>
    </w:p>
    <w:p>
      <w:pPr>
        <w:pStyle w:val="Heading1"/>
        <w:keepNext/>
        <w:keepLines/>
      </w:pPr>
      <w:r>
        <w:t xml:space="preserve">3. The Legal Labyrinth</w:t>
      </w:r>
    </w:p>
    <w:p>
      <w:pPr>
        <w:pStyle w:val="Heading3"/>
        <w:keepNext/>
        <w:keepLines/>
      </w:pPr>
      <w:r>
        <w:t xml:space="preserve">What you see</w:t>
      </w:r>
    </w:p>
    <w:p>
      <w:pPr>
        <w:spacing w:after="140" w:line="276"/>
      </w:pPr>
      <w:r>
        <w:t xml:space="preserve">Six real patent and competition cases, one at a time, in this order: Gilead (voluntary licensing of sofosbuvir), Novartis (Section 3(d) and evergreening), Bayer v. Natco (compulsory license), Roche v. Cipla (injunction), Pfizer (Sutent patent revoked), Turing (Daraprim, the one case with no patent).</w:t>
      </w:r>
    </w:p>
    <w:p>
      <w:pPr>
        <w:pStyle w:val="Heading3"/>
        <w:keepNext/>
        <w:keepLines/>
      </w:pPr>
      <w:r>
        <w:t xml:space="preserve">What to do</w:t>
      </w:r>
    </w:p>
    <w:p>
      <w:pPr>
        <w:spacing w:after="140" w:line="276"/>
      </w:pPr>
      <w:r>
        <w:t xml:space="preserve">Read each case and rule: uphold the holder's claim or intervene. After each ruling the file shows what actually happened, the patent holder's case and the access case.</w:t>
      </w:r>
    </w:p>
    <w:p>
      <w:pPr>
        <w:pStyle w:val="Heading3"/>
        <w:keepNext/>
        <w:keepLines/>
      </w:pPr>
      <w:r>
        <w:t xml:space="preserve">What it teaches</w:t>
      </w:r>
    </w:p>
    <w:p>
      <w:pPr>
        <w:spacing w:after="140" w:line="276"/>
      </w:pPr>
      <w:r>
        <w:t xml:space="preserve">Patent law balances reward for invention against access. No ruling is marked right or wrong, because each side has a real case. The imatinib ruling (case 2) decides whether section 4's market is open.</w:t>
      </w:r>
    </w:p>
    <w:p>
      <w:pPr>
        <w:pStyle w:val="Heading3"/>
        <w:keepNext/>
        <w:keepLines/>
      </w:pPr>
      <w:r>
        <w:t xml:space="preserve">Key numbers and sources</w:t>
      </w:r>
    </w:p>
    <w:p>
      <w:pPr>
        <w:pStyle w:val="ListParagraph"/>
        <w:numPr>
          <w:ilvl w:val="0"/>
          <w:numId w:val="2"/>
        </w:numPr>
        <w:spacing w:after="80" w:line="276"/>
      </w:pPr>
      <w:r>
        <w:t xml:space="preserve">Gilead licensed seven Indian manufacturers to supply 91 developing countries (Gilead press release, 15 Sep 2014).</w:t>
      </w:r>
    </w:p>
    <w:p>
      <w:pPr>
        <w:pStyle w:val="ListParagraph"/>
        <w:numPr>
          <w:ilvl w:val="0"/>
          <w:numId w:val="2"/>
        </w:numPr>
        <w:spacing w:after="80" w:line="276"/>
      </w:pPr>
      <w:r>
        <w:t xml:space="preserve">Novartis v. Union of India, Supreme Court, 2013 (Gabble &amp; Kohler, 2014).</w:t>
      </w:r>
    </w:p>
    <w:p>
      <w:pPr>
        <w:pStyle w:val="ListParagraph"/>
        <w:numPr>
          <w:ilvl w:val="0"/>
          <w:numId w:val="2"/>
        </w:numPr>
        <w:spacing w:after="80" w:line="276"/>
      </w:pPr>
      <w:r>
        <w:t xml:space="preserve">Nexavar Rs 2.8 lakh (about $5,500) a month; Natco's generic Rs 8,800 ($171) (Knowledge at Wharton, 2012).</w:t>
      </w:r>
    </w:p>
    <w:p>
      <w:pPr>
        <w:pStyle w:val="ListParagraph"/>
        <w:numPr>
          <w:ilvl w:val="0"/>
          <w:numId w:val="2"/>
        </w:numPr>
        <w:spacing w:after="80" w:line="276"/>
      </w:pPr>
      <w:r>
        <w:t xml:space="preserve">Roche v. Cipla: Division Bench of the Delhi High Court, 24 April 2009.</w:t>
      </w:r>
    </w:p>
    <w:p>
      <w:pPr>
        <w:pStyle w:val="ListParagraph"/>
        <w:numPr>
          <w:ilvl w:val="0"/>
          <w:numId w:val="2"/>
        </w:numPr>
        <w:spacing w:after="80" w:line="276"/>
      </w:pPr>
      <w:r>
        <w:t xml:space="preserve">Pfizer's Sutent patent revoked in October 2012 (Business Standard).</w:t>
      </w:r>
    </w:p>
    <w:p>
      <w:pPr>
        <w:pStyle w:val="ListParagraph"/>
        <w:numPr>
          <w:ilvl w:val="0"/>
          <w:numId w:val="2"/>
        </w:numPr>
        <w:spacing w:after="80" w:line="276"/>
      </w:pPr>
      <w:r>
        <w:t xml:space="preserve">Turing/Vyera: a US case brought by the FTC; Indian equivalent law is the Competition Act, s. 4.</w:t>
      </w:r>
    </w:p>
    <w:p>
      <w:pPr>
        <w:pStyle w:val="Heading1"/>
        <w:keepNext/>
        <w:keepLines/>
      </w:pPr>
      <w:r>
        <w:t xml:space="preserve">4. The Macro-Economics &amp; Social Returns</w:t>
      </w:r>
    </w:p>
    <w:p>
      <w:pPr>
        <w:pStyle w:val="Heading3"/>
        <w:keepNext/>
        <w:keepLines/>
      </w:pPr>
      <w:r>
        <w:t xml:space="preserve">What you see</w:t>
      </w:r>
    </w:p>
    <w:p>
      <w:pPr>
        <w:spacing w:after="140" w:line="276"/>
      </w:pPr>
      <w:r>
        <w:t xml:space="preserve">A market for imatinib with a monopoly status flag, a competitor slider, a procurement control, and charts of producer and consumer surplus. A panel, "Who pays, and how", compares India and the US.</w:t>
      </w:r>
    </w:p>
    <w:p>
      <w:pPr>
        <w:pStyle w:val="Heading3"/>
        <w:keepNext/>
        <w:keepLines/>
      </w:pPr>
      <w:r>
        <w:t xml:space="preserve">What to do</w:t>
      </w:r>
    </w:p>
    <w:p>
      <w:pPr>
        <w:spacing w:after="140" w:line="276"/>
      </w:pPr>
      <w:r>
        <w:t xml:space="preserve">Rule on case 2 first. If the market is open, raise the number of generic competitors and watch the price fall and value move from producer profit to patients.</w:t>
      </w:r>
    </w:p>
    <w:p>
      <w:pPr>
        <w:pStyle w:val="Heading3"/>
        <w:keepNext/>
        <w:keepLines/>
      </w:pPr>
      <w:r>
        <w:t xml:space="preserve">What it teaches</w:t>
      </w:r>
    </w:p>
    <w:p>
      <w:pPr>
        <w:spacing w:after="140" w:line="276"/>
      </w:pPr>
      <w:r>
        <w:t xml:space="preserve">Generic entry lowers prices; the more entrants, the lower. How a drug is paid for changes what its price means.</w:t>
      </w:r>
    </w:p>
    <w:p>
      <w:pPr>
        <w:pStyle w:val="Heading3"/>
        <w:keepNext/>
        <w:keepLines/>
      </w:pPr>
      <w:r>
        <w:t xml:space="preserve">Key numbers and sources</w:t>
      </w:r>
    </w:p>
    <w:p>
      <w:pPr>
        <w:pStyle w:val="ListParagraph"/>
        <w:numPr>
          <w:ilvl w:val="0"/>
          <w:numId w:val="2"/>
        </w:numPr>
        <w:spacing w:after="80" w:line="276"/>
      </w:pPr>
      <w:r>
        <w:t xml:space="preserve">Price model P_N = P_0 × N^−0.75 (a simplification). FDA estimates: about 39% below brand with one generic, 54% with two, 79% with four, more than 95% with six or more (Conrad &amp; Lutter, 2019).</w:t>
      </w:r>
    </w:p>
    <w:p>
      <w:pPr>
        <w:pStyle w:val="ListParagraph"/>
        <w:numPr>
          <w:ilvl w:val="0"/>
          <w:numId w:val="2"/>
        </w:numPr>
        <w:spacing w:after="80" w:line="276"/>
      </w:pPr>
      <w:r>
        <w:t xml:space="preserve">India: out-of-pocket spending 39.4% of health expenditure in 2021–22; government 48% (National Health Accounts, 2024).</w:t>
      </w:r>
    </w:p>
    <w:p>
      <w:pPr>
        <w:pStyle w:val="ListParagraph"/>
        <w:numPr>
          <w:ilvl w:val="0"/>
          <w:numId w:val="2"/>
        </w:numPr>
        <w:spacing w:after="80" w:line="276"/>
      </w:pPr>
      <w:r>
        <w:t xml:space="preserve">US: gross-to-net reductions on brand drugs about $335 billion in 2023 (Drug Channels Institute, 2024). Medicare's first negotiated prices, 38–79% below list, take effect 1 January 2026 (CMS, 15 Aug 2024).</w:t>
      </w:r>
    </w:p>
    <w:p>
      <w:pPr>
        <w:pStyle w:val="Heading1"/>
        <w:keepNext/>
        <w:keepLines/>
      </w:pPr>
      <w:r>
        <w:t xml:space="preserve">5. Health Economics: QALYs and the Coverage Decision</w:t>
      </w:r>
    </w:p>
    <w:p>
      <w:pPr>
        <w:pStyle w:val="Heading3"/>
        <w:keepNext/>
        <w:keepLines/>
      </w:pPr>
      <w:r>
        <w:t xml:space="preserve">What you see</w:t>
      </w:r>
    </w:p>
    <w:p>
      <w:pPr>
        <w:spacing w:after="140" w:line="276"/>
      </w:pPr>
      <w:r>
        <w:t xml:space="preserve">A fixed $10 million budget, a slider for the cost of treatment per patient, and a chart of patients treated and QALYs lived. A panel states the coverage rule.</w:t>
      </w:r>
    </w:p>
    <w:p>
      <w:pPr>
        <w:pStyle w:val="Heading3"/>
        <w:keepNext/>
        <w:keepLines/>
      </w:pPr>
      <w:r>
        <w:t xml:space="preserve">What to do</w:t>
      </w:r>
    </w:p>
    <w:p>
      <w:pPr>
        <w:spacing w:after="140" w:line="276"/>
      </w:pPr>
      <w:r>
        <w:t xml:space="preserve">Lower the cost per patient and watch how many more patients the same budget treats.</w:t>
      </w:r>
    </w:p>
    <w:p>
      <w:pPr>
        <w:pStyle w:val="Heading3"/>
        <w:keepNext/>
        <w:keepLines/>
      </w:pPr>
      <w:r>
        <w:t xml:space="preserve">What it teaches</w:t>
      </w:r>
    </w:p>
    <w:p>
      <w:pPr>
        <w:spacing w:after="140" w:line="276"/>
      </w:pPr>
      <w:r>
        <w:t xml:space="preserve">A quality-adjusted life year (QALY) counts a year in full health as 1 and a year in poorer health as less. A payer funds a treatment when its extra cost per extra QALY (the ICER) is at or below a threshold that reflects the health the money would buy elsewhere; spending is best allocated where marginal benefit equals marginal cost.</w:t>
      </w:r>
    </w:p>
    <w:p>
      <w:pPr>
        <w:pStyle w:val="Heading3"/>
        <w:keepNext/>
        <w:keepLines/>
      </w:pPr>
      <w:r>
        <w:t xml:space="preserve">Key numbers and sources</w:t>
      </w:r>
    </w:p>
    <w:p>
      <w:pPr>
        <w:pStyle w:val="ListParagraph"/>
        <w:numPr>
          <w:ilvl w:val="0"/>
          <w:numId w:val="2"/>
        </w:numPr>
        <w:spacing w:after="80" w:line="276"/>
      </w:pPr>
      <w:r>
        <w:t xml:space="preserve">7.34 QALYs per patient over 10 years on imatinib (Yamamoto et al., 2019); 83.3% overall survival at 10 years in the IRIS trial (Hochhaus et al., 2017).</w:t>
      </w:r>
    </w:p>
    <w:p>
      <w:pPr>
        <w:pStyle w:val="ListParagraph"/>
        <w:numPr>
          <w:ilvl w:val="0"/>
          <w:numId w:val="2"/>
        </w:numPr>
        <w:spacing w:after="80" w:line="276"/>
      </w:pPr>
      <w:r>
        <w:t xml:space="preserve">These are QALYs lived, not QALYs gained, so the section does not compute an ICER.</w:t>
      </w:r>
    </w:p>
    <w:p>
      <w:pPr>
        <w:pStyle w:val="ListParagraph"/>
        <w:numPr>
          <w:ilvl w:val="0"/>
          <w:numId w:val="2"/>
        </w:numPr>
        <w:spacing w:after="80" w:line="276"/>
      </w:pPr>
      <w:r>
        <w:t xml:space="preserve">Reference points: $43,300 per QALY for imatinib in the US (Reed et al., 2004); Indian willingness to pay US$2,535 per QALY, 1–1.52 times GDP per capita (Chugh et al., 2026). Thresholds: Claxton et al. (2015); McCabe et al. (2008); caution on GDP multiples (Bertram et al., 2016).</w:t>
      </w:r>
    </w:p>
    <w:p>
      <w:pPr>
        <w:pStyle w:val="Heading1"/>
        <w:keepNext/>
        <w:keepLines/>
      </w:pPr>
      <w:r>
        <w:t xml:space="preserve">6. Technological Diffusion &amp; Global Trade</w:t>
      </w:r>
    </w:p>
    <w:p>
      <w:pPr>
        <w:pStyle w:val="Heading3"/>
        <w:keepNext/>
        <w:keepLines/>
      </w:pPr>
      <w:r>
        <w:t xml:space="preserve">What you see</w:t>
      </w:r>
    </w:p>
    <w:p>
      <w:pPr>
        <w:spacing w:after="140" w:line="276"/>
      </w:pPr>
      <w:r>
        <w:t xml:space="preserve">A map of Indian pharmaceutical exports over time, an S-shaped (logistic) diffusion curve, and clickable destination markets.</w:t>
      </w:r>
    </w:p>
    <w:p>
      <w:pPr>
        <w:pStyle w:val="Heading3"/>
        <w:keepNext/>
        <w:keepLines/>
      </w:pPr>
      <w:r>
        <w:t xml:space="preserve">What to do</w:t>
      </w:r>
    </w:p>
    <w:p>
      <w:pPr>
        <w:spacing w:after="140" w:line="276"/>
      </w:pPr>
      <w:r>
        <w:t xml:space="preserve">Drag the timeline from 2003 to 2024 and click the destination nodes. The optional view shows imports of active ingredients from China.</w:t>
      </w:r>
    </w:p>
    <w:p>
      <w:pPr>
        <w:pStyle w:val="Heading3"/>
        <w:keepNext/>
        <w:keepLines/>
      </w:pPr>
      <w:r>
        <w:t xml:space="preserve">What it teaches</w:t>
      </w:r>
    </w:p>
    <w:p>
      <w:pPr>
        <w:spacing w:after="140" w:line="276"/>
      </w:pPr>
      <w:r>
        <w:t xml:space="preserve">New technology spreads slowly, then quickly, then levels off. Low prices alone did not spread Indian generics; buyers also needed a way to certify and pay for them.</w:t>
      </w:r>
    </w:p>
    <w:p>
      <w:pPr>
        <w:pStyle w:val="Heading3"/>
        <w:keepNext/>
        <w:keepLines/>
      </w:pPr>
      <w:r>
        <w:t xml:space="preserve">Key numbers and sources</w:t>
      </w:r>
    </w:p>
    <w:p>
      <w:pPr>
        <w:pStyle w:val="ListParagraph"/>
        <w:numPr>
          <w:ilvl w:val="0"/>
          <w:numId w:val="2"/>
        </w:numPr>
        <w:spacing w:after="80" w:line="276"/>
      </w:pPr>
      <w:r>
        <w:t xml:space="preserve">Exports about $3bn (2003) and $27bn (2023) (Bain &amp; Company for the Indian Pharmaceutical Alliance, 2025); $30.47bn in 2024–25 (PIB). Years in between are interpolated. The curve's midpoint and slope are illustrative.</w:t>
      </w:r>
    </w:p>
    <w:p>
      <w:pPr>
        <w:pStyle w:val="ListParagraph"/>
        <w:numPr>
          <w:ilvl w:val="0"/>
          <w:numId w:val="2"/>
        </w:numPr>
        <w:spacing w:after="80" w:line="276"/>
      </w:pPr>
      <w:r>
        <w:t xml:space="preserve">Destination shares of export value, FY2024–25: NAFTA 37.6%, Europe 18.9%, Africa 12.9% (Pharmexcil Handbook, 2025, Table 2).</w:t>
      </w:r>
    </w:p>
    <w:p>
      <w:pPr>
        <w:pStyle w:val="ListParagraph"/>
        <w:numPr>
          <w:ilvl w:val="0"/>
          <w:numId w:val="2"/>
        </w:numPr>
        <w:spacing w:after="80" w:line="276"/>
      </w:pPr>
      <w:r>
        <w:t xml:space="preserve">India provides about 20% of global generic supply, nearly 40% of US generic demand, over 50% of Africa's generics and over 70% of global antiretroviral supply (Department of Pharmaceuticals, Annual Report 2025-26).</w:t>
      </w:r>
    </w:p>
    <w:p>
      <w:pPr>
        <w:pStyle w:val="ListParagraph"/>
        <w:numPr>
          <w:ilvl w:val="0"/>
          <w:numId w:val="2"/>
        </w:numPr>
        <w:spacing w:after="80" w:line="276"/>
      </w:pPr>
      <w:r>
        <w:t xml:space="preserve">PEPFAR: generics rose from 14.8% (2005) to 89.3% (2008) of antiretroviral packs procured after the FDA tentative-approval route; 9 of 12 approved makers were in India (Holmes et al., 2010).</w:t>
      </w:r>
    </w:p>
    <w:p>
      <w:pPr>
        <w:pStyle w:val="Heading1"/>
        <w:keepNext/>
        <w:keepLines/>
      </w:pPr>
      <w:r>
        <w:t xml:space="preserve">7. The Human Metric: Market Power &amp; Wage Affordability</w:t>
      </w:r>
    </w:p>
    <w:p>
      <w:pPr>
        <w:pStyle w:val="Heading3"/>
        <w:keepNext/>
        <w:keepLines/>
      </w:pPr>
      <w:r>
        <w:t xml:space="preserve">What you see</w:t>
      </w:r>
    </w:p>
    <w:p>
      <w:pPr>
        <w:spacing w:after="140" w:line="276"/>
      </w:pPr>
      <w:r>
        <w:t xml:space="preserve">Two selectors (patented Nexavar or post-license generic; rural laborer or urban salaried worker), a count of the days of work one month of the drug costs, a grid of those days, and the Lerner index.</w:t>
      </w:r>
    </w:p>
    <w:p>
      <w:pPr>
        <w:pStyle w:val="Heading3"/>
        <w:keepNext/>
        <w:keepLines/>
      </w:pPr>
      <w:r>
        <w:t xml:space="preserve">What to do</w:t>
      </w:r>
    </w:p>
    <w:p>
      <w:pPr>
        <w:spacing w:after="140" w:line="276"/>
      </w:pPr>
      <w:r>
        <w:t xml:space="preserve">Switch the market to the generic and the worker to the rural laborer. Then try the urban worker.</w:t>
      </w:r>
    </w:p>
    <w:p>
      <w:pPr>
        <w:pStyle w:val="Heading3"/>
        <w:keepNext/>
        <w:keepLines/>
      </w:pPr>
      <w:r>
        <w:t xml:space="preserve">What it teaches</w:t>
      </w:r>
    </w:p>
    <w:p>
      <w:pPr>
        <w:spacing w:after="140" w:line="276"/>
      </w:pPr>
      <w:r>
        <w:t xml:space="preserve">The WHO and Health Action International call a monthly medicine affordable if it costs one day's wage or less. The Lerner index (P − MC)/P measures how much of a price is margin.</w:t>
      </w:r>
    </w:p>
    <w:p>
      <w:pPr>
        <w:pStyle w:val="Heading3"/>
        <w:keepNext/>
        <w:keepLines/>
      </w:pPr>
      <w:r>
        <w:t xml:space="preserve">Key numbers and sources</w:t>
      </w:r>
    </w:p>
    <w:p>
      <w:pPr>
        <w:pStyle w:val="ListParagraph"/>
        <w:numPr>
          <w:ilvl w:val="0"/>
          <w:numId w:val="2"/>
        </w:numPr>
        <w:spacing w:after="80" w:line="276"/>
      </w:pPr>
      <w:r>
        <w:t xml:space="preserve">Prices: Rs 2.8 lakh and Rs 8,800 a month ($5,500 and $171) (Knowledge at Wharton, 2012).</w:t>
      </w:r>
    </w:p>
    <w:p>
      <w:pPr>
        <w:pStyle w:val="ListParagraph"/>
        <w:numPr>
          <w:ilvl w:val="0"/>
          <w:numId w:val="2"/>
        </w:numPr>
        <w:spacing w:after="80" w:line="276"/>
      </w:pPr>
      <w:r>
        <w:t xml:space="preserve">Wages in force in March 2012, in rupees: Rs 120 a day, MGNREGA, Uttar Pradesh (S.O. 82(E), effective 1 Jan 2011); Rs 258 a day, male regular salaried worker, urban informal sector, 2011–12 (NSS 68th round, via Business Standard, 2014).</w:t>
      </w:r>
    </w:p>
    <w:p>
      <w:pPr>
        <w:pStyle w:val="ListParagraph"/>
        <w:numPr>
          <w:ilvl w:val="0"/>
          <w:numId w:val="2"/>
        </w:numPr>
        <w:spacing w:after="80" w:line="276"/>
      </w:pPr>
      <w:r>
        <w:t xml:space="preserve">Days of work for one month: 2,333 (patented, rural), 1,085 (patented, urban), 73 (generic, rural), 34 (generic, urban).</w:t>
      </w:r>
    </w:p>
    <w:p>
      <w:pPr>
        <w:pStyle w:val="ListParagraph"/>
        <w:numPr>
          <w:ilvl w:val="0"/>
          <w:numId w:val="2"/>
        </w:numPr>
        <w:spacing w:after="80" w:line="276"/>
      </w:pPr>
      <w:r>
        <w:t xml:space="preserve">Marginal cost $74.18 a month (Hill et al., 2016, Table 1): Lerner 0.987 patented, 0.566 generic.</w:t>
      </w:r>
    </w:p>
    <w:p>
      <w:pPr>
        <w:pStyle w:val="Heading1"/>
        <w:keepNext/>
        <w:keepLines/>
      </w:pPr>
      <w:r>
        <w:t xml:space="preserve">8. Antitrust Policy &amp; Innovation: The Inverted-U</w:t>
      </w:r>
    </w:p>
    <w:p>
      <w:pPr>
        <w:pStyle w:val="Heading3"/>
        <w:keepNext/>
        <w:keepLines/>
      </w:pPr>
      <w:r>
        <w:t xml:space="preserve">What you see</w:t>
      </w:r>
    </w:p>
    <w:p>
      <w:pPr>
        <w:spacing w:after="140" w:line="276"/>
      </w:pPr>
      <w:r>
        <w:t xml:space="preserve">An HHI calculator driven by the number of firms, and a curve of innovation intensity against competition.</w:t>
      </w:r>
    </w:p>
    <w:p>
      <w:pPr>
        <w:pStyle w:val="Heading3"/>
        <w:keepNext/>
        <w:keepLines/>
      </w:pPr>
      <w:r>
        <w:t xml:space="preserve">What to do</w:t>
      </w:r>
    </w:p>
    <w:p>
      <w:pPr>
        <w:spacing w:after="140" w:line="276"/>
      </w:pPr>
      <w:r>
        <w:t xml:space="preserve">Change the number of firms and read the HHI band and where the market sits on the curve.</w:t>
      </w:r>
    </w:p>
    <w:p>
      <w:pPr>
        <w:pStyle w:val="Heading3"/>
        <w:keepNext/>
        <w:keepLines/>
      </w:pPr>
      <w:r>
        <w:t xml:space="preserve">What it teaches</w:t>
      </w:r>
    </w:p>
    <w:p>
      <w:pPr>
        <w:spacing w:after="140" w:line="276"/>
      </w:pPr>
      <w:r>
        <w:t xml:space="preserve">Regulators measure concentration with the HHI (the sum of squared market shares). Innovation tends to be highest at intermediate competition: too little and the incumbent has no reason to innovate, too much and no one earns enough to pay for research.</w:t>
      </w:r>
    </w:p>
    <w:p>
      <w:pPr>
        <w:pStyle w:val="Heading3"/>
        <w:keepNext/>
        <w:keepLines/>
      </w:pPr>
      <w:r>
        <w:t xml:space="preserve">Key numbers and sources</w:t>
      </w:r>
    </w:p>
    <w:p>
      <w:pPr>
        <w:pStyle w:val="ListParagraph"/>
        <w:numPr>
          <w:ilvl w:val="0"/>
          <w:numId w:val="2"/>
        </w:numPr>
        <w:spacing w:after="80" w:line="276"/>
      </w:pPr>
      <w:r>
        <w:t xml:space="preserve">HHI bands used on the page: below 1,500 unconcentrated; 1,500–2,500 moderate; above 2,500 highly concentrated.</w:t>
      </w:r>
    </w:p>
    <w:p>
      <w:pPr>
        <w:pStyle w:val="ListParagraph"/>
        <w:numPr>
          <w:ilvl w:val="0"/>
          <w:numId w:val="2"/>
        </w:numPr>
        <w:spacing w:after="80" w:line="276"/>
      </w:pPr>
      <w:r>
        <w:t xml:space="preserve">Inverted-U: Aghion et al. (2005), drawn over the number of firms as a simplification.</w:t>
      </w:r>
    </w:p>
    <w:p>
      <w:pPr>
        <w:pStyle w:val="Heading1"/>
        <w:keepNext/>
        <w:keepLines/>
      </w:pPr>
      <w:r>
        <w:t xml:space="preserve">9. Game Theory: The Patent Race</w:t>
      </w:r>
    </w:p>
    <w:p>
      <w:pPr>
        <w:pStyle w:val="Heading3"/>
        <w:keepNext/>
        <w:keepLines/>
      </w:pPr>
      <w:r>
        <w:t xml:space="preserve">What you see</w:t>
      </w:r>
    </w:p>
    <w:p>
      <w:pPr>
        <w:spacing w:after="140" w:line="276"/>
      </w:pPr>
      <w:r>
        <w:t xml:space="preserve">You are Firm A; Firm B chooses at the same time. Each can invest High ($400M), Low ($100M) or stay out. The bigger spender wins the patent; equal spenders split it. A 3 × 3 payoff matrix highlights the equilibrium.</w:t>
      </w:r>
    </w:p>
    <w:p>
      <w:pPr>
        <w:pStyle w:val="Heading3"/>
        <w:keepNext/>
        <w:keepLines/>
      </w:pPr>
      <w:r>
        <w:t xml:space="preserve">What to do</w:t>
      </w:r>
    </w:p>
    <w:p>
      <w:pPr>
        <w:spacing w:after="140" w:line="276"/>
      </w:pPr>
      <w:r>
        <w:t xml:space="preserve">Pick a stage (how long until generics enter), then choose High, Low or Stay out. Try several stages.</w:t>
      </w:r>
    </w:p>
    <w:p>
      <w:pPr>
        <w:pStyle w:val="Heading3"/>
        <w:keepNext/>
        <w:keepLines/>
      </w:pPr>
      <w:r>
        <w:t xml:space="preserve">What it teaches</w:t>
      </w:r>
    </w:p>
    <w:p>
      <w:pPr>
        <w:spacing w:after="140" w:line="276"/>
      </w:pPr>
      <w:r>
        <w:t xml:space="preserve">With a big prize both firms overspend on duplicate research (Dasgupta &amp; Stiglitz, 1980). Shrink the prize by shortening exclusivity and the race calms, then only one firm can afford to try, then no one invests.</w:t>
      </w:r>
    </w:p>
    <w:p>
      <w:pPr>
        <w:pStyle w:val="Heading3"/>
        <w:keepNext/>
        <w:keepLines/>
      </w:pPr>
      <w:r>
        <w:t xml:space="preserve">Key numbers and sources</w:t>
      </w:r>
    </w:p>
    <w:p>
      <w:pPr>
        <w:pStyle w:val="ListParagraph"/>
        <w:numPr>
          <w:ilvl w:val="0"/>
          <w:numId w:val="2"/>
        </w:numPr>
        <w:spacing w:after="80" w:line="276"/>
      </w:pPr>
      <w:r>
        <w:t xml:space="preserve">Prize V(T) = 1000 × (1 − 1.105^−T) / (1 − 1.105^−20) $M.</w:t>
      </w:r>
    </w:p>
    <w:p>
      <w:pPr>
        <w:pStyle w:val="ListParagraph"/>
        <w:numPr>
          <w:ilvl w:val="0"/>
          <w:numId w:val="2"/>
        </w:numPr>
        <w:spacing w:after="80" w:line="276"/>
      </w:pPr>
      <w:r>
        <w:t xml:space="preserve">T = 20: V = 1,000, both High (100 each). T = 10: V = 731, no stable pair. T = 5: V = 455, both Low. T = 1: V = 110, one firm in. T = 0.5: V = 56, nobody invests.</w:t>
      </w:r>
    </w:p>
    <w:p>
      <w:pPr>
        <w:pStyle w:val="ListParagraph"/>
        <w:numPr>
          <w:ilvl w:val="0"/>
          <w:numId w:val="2"/>
        </w:numPr>
        <w:spacing w:after="80" w:line="276"/>
      </w:pPr>
      <w:r>
        <w:t xml:space="preserve">The dollar figures are illustrative, chosen to show the pattern.</w:t>
      </w:r>
    </w:p>
    <w:p>
      <w:pPr>
        <w:pStyle w:val="Heading1"/>
        <w:keepNext/>
        <w:keepLines/>
      </w:pPr>
      <w:r>
        <w:t xml:space="preserve">10. Global Benchmarks: The Generic Paradox, and Beyond the OECD</w:t>
      </w:r>
    </w:p>
    <w:p>
      <w:pPr>
        <w:pStyle w:val="Heading3"/>
        <w:keepNext/>
        <w:keepLines/>
      </w:pPr>
      <w:r>
        <w:t xml:space="preserve">What you see</w:t>
      </w:r>
    </w:p>
    <w:p>
      <w:pPr>
        <w:spacing w:after="140" w:line="276"/>
      </w:pPr>
      <w:r>
        <w:t xml:space="preserve">A table and bar chart of generics' share of the market by volume and by value for five systems, and a panel of four comparable economies outside the OECD.</w:t>
      </w:r>
    </w:p>
    <w:p>
      <w:pPr>
        <w:pStyle w:val="Heading3"/>
        <w:keepNext/>
        <w:keepLines/>
      </w:pPr>
      <w:r>
        <w:t xml:space="preserve">What to do</w:t>
      </w:r>
    </w:p>
    <w:p>
      <w:pPr>
        <w:spacing w:after="140" w:line="276"/>
      </w:pPr>
      <w:r>
        <w:t xml:space="preserve">Compare the two bars for each system. Read the four comparison cards.</w:t>
      </w:r>
    </w:p>
    <w:p>
      <w:pPr>
        <w:pStyle w:val="Heading3"/>
        <w:keepNext/>
        <w:keepLines/>
      </w:pPr>
      <w:r>
        <w:t xml:space="preserve">What it teaches</w:t>
      </w:r>
    </w:p>
    <w:p>
      <w:pPr>
        <w:spacing w:after="140" w:line="276"/>
      </w:pPr>
      <w:r>
        <w:t xml:space="preserve">Generics can be most of the medicine sold and still a small share of the money spent. Several middle-income countries besides India have used procurement or licensing to lower prices.</w:t>
      </w:r>
    </w:p>
    <w:p>
      <w:pPr>
        <w:pStyle w:val="Heading3"/>
        <w:keepNext/>
        <w:keepLines/>
      </w:pPr>
      <w:r>
        <w:t xml:space="preserve">Key numbers and sources</w:t>
      </w:r>
    </w:p>
    <w:p>
      <w:pPr>
        <w:pStyle w:val="ListParagraph"/>
        <w:numPr>
          <w:ilvl w:val="0"/>
          <w:numId w:val="2"/>
        </w:numPr>
        <w:spacing w:after="80" w:line="276"/>
      </w:pPr>
      <w:r>
        <w:t xml:space="preserve">Volume / value, 2021 (OECD, Health at a Glance 2023, Figure 9.7 data labels): Chile 90 / 65 (community pharmacy); Germany 83 / 29 (reimbursed); United Kingdom 80 / 54 (community pharmacy); OECD average of 26 countries 54 / 25; Switzerland 23 / 19 (total market). Coverage differs by country.</w:t>
      </w:r>
    </w:p>
    <w:p>
      <w:pPr>
        <w:pStyle w:val="ListParagraph"/>
        <w:numPr>
          <w:ilvl w:val="0"/>
          <w:numId w:val="2"/>
        </w:numPr>
        <w:spacing w:after="80" w:line="276"/>
      </w:pPr>
      <w:r>
        <w:t xml:space="preserve">China: "4+7" pilot, 25 drugs, winning bids 52% below the 2017 minimum price (Tang et al., 2019).</w:t>
      </w:r>
    </w:p>
    <w:p>
      <w:pPr>
        <w:pStyle w:val="ListParagraph"/>
        <w:numPr>
          <w:ilvl w:val="0"/>
          <w:numId w:val="2"/>
        </w:numPr>
        <w:spacing w:after="80" w:line="276"/>
      </w:pPr>
      <w:r>
        <w:t xml:space="preserve">Brazil: compulsory license on efavirenz, 4 May 2007; Merck US$1.56 a day vs Indian generic US$0.45 (aidsmap, 2007).</w:t>
      </w:r>
    </w:p>
    <w:p>
      <w:pPr>
        <w:pStyle w:val="ListParagraph"/>
        <w:numPr>
          <w:ilvl w:val="0"/>
          <w:numId w:val="2"/>
        </w:numPr>
        <w:spacing w:after="80" w:line="276"/>
      </w:pPr>
      <w:r>
        <w:t xml:space="preserve">Thailand: compulsory licenses on efavirenz (2006), lopinavir/ritonavir and clopidogrel (2007) (MSF Access).</w:t>
      </w:r>
    </w:p>
    <w:p>
      <w:pPr>
        <w:pStyle w:val="ListParagraph"/>
        <w:numPr>
          <w:ilvl w:val="0"/>
          <w:numId w:val="2"/>
        </w:numPr>
        <w:spacing w:after="80" w:line="276"/>
      </w:pPr>
      <w:r>
        <w:t xml:space="preserve">South Africa: in April 2001, 38 companies withdrew their challenge to the 1997 Medicines Act (South African Government, 2001).</w:t>
      </w:r>
    </w:p>
    <w:p>
      <w:pPr>
        <w:pStyle w:val="Heading1"/>
        <w:keepNext/>
        <w:keepLines/>
      </w:pPr>
      <w:r>
        <w:t xml:space="preserve">Glossary</w:t>
      </w:r>
    </w:p>
    <w:p>
      <w:pPr>
        <w:pStyle w:val="ListParagraph"/>
        <w:numPr>
          <w:ilvl w:val="0"/>
          <w:numId w:val="2"/>
        </w:numPr>
        <w:spacing w:after="80" w:line="276"/>
      </w:pPr>
      <w:r>
        <w:rPr>
          <w:b/>
          <w:bCs/>
        </w:rPr>
        <w:t xml:space="preserve">Compulsory license</w:t>
      </w:r>
      <w:r>
        <w:t xml:space="preserve">: a government authorizes use of a patented invention without the holder's consent (India: Patents Act, s. 84).</w:t>
      </w:r>
    </w:p>
    <w:p>
      <w:pPr>
        <w:pStyle w:val="ListParagraph"/>
        <w:numPr>
          <w:ilvl w:val="0"/>
          <w:numId w:val="2"/>
        </w:numPr>
        <w:spacing w:after="80" w:line="276"/>
      </w:pPr>
      <w:r>
        <w:rPr>
          <w:b/>
          <w:bCs/>
        </w:rPr>
        <w:t xml:space="preserve">Section 3(d)</w:t>
      </w:r>
      <w:r>
        <w:t xml:space="preserve">: bars patents on new forms of known substances unless they show significantly enhanced efficacy; India's rule against evergreening.</w:t>
      </w:r>
    </w:p>
    <w:p>
      <w:pPr>
        <w:pStyle w:val="ListParagraph"/>
        <w:numPr>
          <w:ilvl w:val="0"/>
          <w:numId w:val="2"/>
        </w:numPr>
        <w:spacing w:after="80" w:line="276"/>
      </w:pPr>
      <w:r>
        <w:rPr>
          <w:b/>
          <w:bCs/>
        </w:rPr>
        <w:t xml:space="preserve">Evergreening</w:t>
      </w:r>
      <w:r>
        <w:t xml:space="preserve">: extending exclusivity with secondary patents on minor changes.</w:t>
      </w:r>
    </w:p>
    <w:p>
      <w:pPr>
        <w:pStyle w:val="ListParagraph"/>
        <w:numPr>
          <w:ilvl w:val="0"/>
          <w:numId w:val="2"/>
        </w:numPr>
        <w:spacing w:after="80" w:line="276"/>
      </w:pPr>
      <w:r>
        <w:rPr>
          <w:b/>
          <w:bCs/>
        </w:rPr>
        <w:t xml:space="preserve">QALY</w:t>
      </w:r>
      <w:r>
        <w:t xml:space="preserve">: a year of life weighted by health, 1 for full health.</w:t>
      </w:r>
    </w:p>
    <w:p>
      <w:pPr>
        <w:pStyle w:val="ListParagraph"/>
        <w:numPr>
          <w:ilvl w:val="0"/>
          <w:numId w:val="2"/>
        </w:numPr>
        <w:spacing w:after="80" w:line="276"/>
      </w:pPr>
      <w:r>
        <w:rPr>
          <w:b/>
          <w:bCs/>
        </w:rPr>
        <w:t xml:space="preserve">ICER</w:t>
      </w:r>
      <w:r>
        <w:t xml:space="preserve">: extra cost divided by extra QALYs, compared with a threshold.</w:t>
      </w:r>
    </w:p>
    <w:p>
      <w:pPr>
        <w:pStyle w:val="ListParagraph"/>
        <w:numPr>
          <w:ilvl w:val="0"/>
          <w:numId w:val="2"/>
        </w:numPr>
        <w:spacing w:after="80" w:line="276"/>
      </w:pPr>
      <w:r>
        <w:rPr>
          <w:b/>
          <w:bCs/>
        </w:rPr>
        <w:t xml:space="preserve">Lerner index</w:t>
      </w:r>
      <w:r>
        <w:t xml:space="preserve">: (price − marginal cost) / price; 0 is no margin, near 1 is almost all margin.</w:t>
      </w:r>
    </w:p>
    <w:p>
      <w:pPr>
        <w:pStyle w:val="ListParagraph"/>
        <w:numPr>
          <w:ilvl w:val="0"/>
          <w:numId w:val="2"/>
        </w:numPr>
        <w:spacing w:after="80" w:line="276"/>
      </w:pPr>
      <w:r>
        <w:rPr>
          <w:b/>
          <w:bCs/>
        </w:rPr>
        <w:t xml:space="preserve">HHI</w:t>
      </w:r>
      <w:r>
        <w:t xml:space="preserve">: sum of squared market shares; 10,000 is a monopoly.</w:t>
      </w:r>
    </w:p>
    <w:p>
      <w:pPr>
        <w:pStyle w:val="ListParagraph"/>
        <w:numPr>
          <w:ilvl w:val="0"/>
          <w:numId w:val="2"/>
        </w:numPr>
        <w:spacing w:after="80" w:line="276"/>
      </w:pPr>
      <w:r>
        <w:rPr>
          <w:b/>
          <w:bCs/>
        </w:rPr>
        <w:t xml:space="preserve">Gross-to-net</w:t>
      </w:r>
      <w:r>
        <w:t xml:space="preserve">: the gap between a drug's list price and what manufacturers receive after rebates and discounts.</w:t>
      </w:r>
    </w:p>
    <w:p>
      <w:pPr>
        <w:spacing w:after="100"/>
      </w:pPr>
      <w:r>
        <w:rPr>
          <w:color w:val="555555"/>
          <w:sz w:val="18"/>
          <w:szCs w:val="18"/>
        </w:rPr>
        <w:t xml:space="preserve">Full references with DOIs: Doc/Paper_Revisions_Replacements.docx, section 10.</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Explainer guide · One Molecule, Two Markets · v1.6.0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2A44"/>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1F2A44"/>
      <w:sz w:val="25"/>
      <w:szCs w:val="25"/>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Section-by-Section Explainer Guide</dc:title>
  <dc:creator>Adhiraj Bhagawati</dc:creator>
  <cp:lastModifiedBy>Un-named</cp:lastModifiedBy>
  <cp:revision>1</cp:revision>
  <dcterms:created xsi:type="dcterms:W3CDTF">2026-10-26T02:27:22.116Z</dcterms:created>
  <dcterms:modified xsi:type="dcterms:W3CDTF">2026-10-26T02:27:22.124Z</dcterms:modified>
</cp:coreProperties>
</file>

<file path=docProps/custom.xml><?xml version="1.0" encoding="utf-8"?>
<Properties xmlns="http://schemas.openxmlformats.org/officeDocument/2006/custom-properties" xmlns:vt="http://schemas.openxmlformats.org/officeDocument/2006/docPropsVTypes"/>
</file>