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APEXTitle"/>
        <w:jc w:val="center"/>
      </w:pPr>
      <w:r>
        <w:t>REPORTE DE ANÁLISIS</w:t>
        <w:br/>
        <w:t>PREDICTIVO ECOSISTÉMICO</w:t>
      </w:r>
    </w:p>
    <w:p/>
    <w:p>
      <w:pPr>
        <w:pStyle w:val="APEXHeading"/>
        <w:jc w:val="center"/>
      </w:pPr>
      <w:r>
        <w:rPr>
          <w:b/>
          <w:sz w:val="28"/>
        </w:rPr>
        <w:t>NIVEL DE RIESGO: BAJO  (24/100)</w:t>
      </w:r>
    </w:p>
    <w:p/>
    <w:p>
      <w:pPr>
        <w:pStyle w:val="APEXBody"/>
        <w:jc w:val="center"/>
      </w:pPr>
      <w:r>
        <w:rPr>
          <w:sz w:val="22"/>
        </w:rPr>
        <w:t>Folio: PROFEPA-APEX-TEST-ENH</w:t>
        <w:br/>
      </w:r>
      <w:r>
        <w:rPr>
          <w:sz w:val="22"/>
        </w:rPr>
        <w:t>Período: 2024-2024</w:t>
        <w:br/>
      </w:r>
      <w:r>
        <w:rPr>
          <w:sz w:val="22"/>
        </w:rPr>
        <w:t>Fecha: 2026-03-21 17:30 UTC</w:t>
        <w:br/>
      </w:r>
      <w:r>
        <w:rPr>
          <w:sz w:val="22"/>
        </w:rPr>
        <w:t>Sistema: APEX — Análisis Predictivo de Ecosistemas con IA</w:t>
        <w:br/>
      </w:r>
      <w:r>
        <w:rPr>
          <w:sz w:val="22"/>
        </w:rPr>
        <w:t>Institución: PROFEPA</w:t>
        <w:br/>
      </w:r>
    </w:p>
    <w:p>
      <w:r>
        <w:br w:type="page"/>
      </w:r>
    </w:p>
    <w:p>
      <w:pPr>
        <w:pStyle w:val="APEXHeading"/>
      </w:pPr>
      <w:r>
        <w:t>1. Resumen Ejecutivo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Interpretación</w:t>
            </w:r>
          </w:p>
        </w:tc>
      </w:tr>
      <w:tr>
        <w:tc>
          <w:tcPr>
            <w:tcW w:type="dxa" w:w="3120"/>
          </w:tcPr>
          <w:p>
            <w:r>
              <w:t>Deforestación acumulada</w:t>
            </w:r>
          </w:p>
        </w:tc>
        <w:tc>
          <w:tcPr>
            <w:tcW w:type="dxa" w:w="3120"/>
          </w:tcPr>
          <w:p>
            <w:r>
              <w:t>3.2 ha</w:t>
            </w:r>
          </w:p>
        </w:tc>
        <w:tc>
          <w:tcPr>
            <w:tcW w:type="dxa" w:w="3120"/>
          </w:tcPr>
          <w:p>
            <w:r>
              <w:t>Normal</w:t>
            </w:r>
          </w:p>
        </w:tc>
      </w:tr>
      <w:tr>
        <w:tc>
          <w:tcPr>
            <w:tcW w:type="dxa" w:w="3120"/>
          </w:tcPr>
          <w:p>
            <w:r>
              <w:t>Expansión urbana total</w:t>
            </w:r>
          </w:p>
        </w:tc>
        <w:tc>
          <w:tcPr>
            <w:tcW w:type="dxa" w:w="3120"/>
          </w:tcPr>
          <w:p>
            <w:r>
              <w:t>1.6 ha</w:t>
            </w:r>
          </w:p>
        </w:tc>
        <w:tc>
          <w:tcPr>
            <w:tcW w:type="dxa" w:w="3120"/>
          </w:tcPr>
          <w:p>
            <w:r>
              <w:t>Normal</w:t>
            </w:r>
          </w:p>
        </w:tc>
      </w:tr>
      <w:tr>
        <w:tc>
          <w:tcPr>
            <w:tcW w:type="dxa" w:w="3120"/>
          </w:tcPr>
          <w:p>
            <w:r>
              <w:t>Cambio bosque denso</w:t>
            </w:r>
          </w:p>
        </w:tc>
        <w:tc>
          <w:tcPr>
            <w:tcW w:type="dxa" w:w="3120"/>
          </w:tcPr>
          <w:p>
            <w:r>
              <w:t>0.0 pp</w:t>
            </w:r>
          </w:p>
        </w:tc>
        <w:tc>
          <w:tcPr>
            <w:tcW w:type="dxa" w:w="3120"/>
          </w:tcPr>
          <w:p>
            <w:r>
              <w:t>Estable</w:t>
            </w:r>
          </w:p>
        </w:tc>
      </w:tr>
      <w:tr>
        <w:tc>
          <w:tcPr>
            <w:tcW w:type="dxa" w:w="3120"/>
          </w:tcPr>
          <w:p>
            <w:r>
              <w:t>Cambio urbano</w:t>
            </w:r>
          </w:p>
        </w:tc>
        <w:tc>
          <w:tcPr>
            <w:tcW w:type="dxa" w:w="3120"/>
          </w:tcPr>
          <w:p>
            <w:r>
              <w:t>0.0 pp</w:t>
            </w:r>
          </w:p>
        </w:tc>
        <w:tc>
          <w:tcPr>
            <w:tcW w:type="dxa" w:w="3120"/>
          </w:tcPr>
          <w:p>
            <w:r>
              <w:t>Estable</w:t>
            </w:r>
          </w:p>
        </w:tc>
      </w:tr>
      <w:tr>
        <w:tc>
          <w:tcPr>
            <w:tcW w:type="dxa" w:w="3120"/>
          </w:tcPr>
          <w:p>
            <w:r>
              <w:t>Años analizados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Anomalías</w:t>
            </w:r>
          </w:p>
        </w:tc>
        <w:tc>
          <w:tcPr>
            <w:tcW w:type="dxa" w:w="3120"/>
          </w:tcPr>
          <w:p>
            <w:r>
              <w:t>0</w:t>
            </w:r>
          </w:p>
        </w:tc>
        <w:tc>
          <w:tcPr>
            <w:tcW w:type="dxa" w:w="3120"/>
          </w:tcPr>
          <w:p>
            <w:r>
              <w:t>Sin alertas</w:t>
            </w:r>
          </w:p>
        </w:tc>
      </w:tr>
    </w:tbl>
    <w:p/>
    <w:p>
      <w:pPr>
        <w:pStyle w:val="APEXBody"/>
      </w:pPr>
      <w:r>
        <w:rPr>
          <w:b/>
        </w:rPr>
        <w:t xml:space="preserve">Tendencia general: </w:t>
      </w:r>
      <w:r>
        <w:t>INSUFICIENTE — Se requieren más años para determinar una tendencia.</w:t>
      </w:r>
    </w:p>
    <w:p/>
    <w:p>
      <w:pPr>
        <w:pStyle w:val="APEXHeading"/>
      </w:pPr>
      <w:r>
        <w:t>2. Alertas y Anomalías</w:t>
      </w:r>
    </w:p>
    <w:p>
      <w:pPr>
        <w:pStyle w:val="APEXBody"/>
      </w:pPr>
      <w:r>
        <w:t>No se detectaron anomalías estadísticas (z-score &gt; 2σ) en la serie temporal analizada. Todos los indicadores se encuentran dentro de la variabilidad histórica esperada.</w:t>
      </w:r>
    </w:p>
    <w:p>
      <w:pPr>
        <w:pStyle w:val="APEXHeading"/>
      </w:pPr>
      <w:r>
        <w:t>3. Datos Tabulares por Año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Año</w:t>
            </w:r>
          </w:p>
        </w:tc>
        <w:tc>
          <w:tcPr>
            <w:tcW w:type="dxa" w:w="1337"/>
          </w:tcPr>
          <w:p>
            <w:r>
              <w:rPr>
                <w:b/>
              </w:rPr>
              <w:t>Base</w:t>
            </w:r>
          </w:p>
        </w:tc>
        <w:tc>
          <w:tcPr>
            <w:tcW w:type="dxa" w:w="1337"/>
          </w:tcPr>
          <w:p>
            <w:r>
              <w:rPr>
                <w:b/>
              </w:rPr>
              <w:t>Def. (ha)</w:t>
            </w:r>
          </w:p>
        </w:tc>
        <w:tc>
          <w:tcPr>
            <w:tcW w:type="dxa" w:w="1337"/>
          </w:tcPr>
          <w:p>
            <w:r>
              <w:rPr>
                <w:b/>
              </w:rPr>
              <w:t>Exp.Urb. (ha)</w:t>
            </w:r>
          </w:p>
        </w:tc>
        <w:tc>
          <w:tcPr>
            <w:tcW w:type="dxa" w:w="1337"/>
          </w:tcPr>
          <w:p>
            <w:r>
              <w:rPr>
                <w:b/>
              </w:rPr>
              <w:t>Bosque (%)</w:t>
            </w:r>
          </w:p>
        </w:tc>
        <w:tc>
          <w:tcPr>
            <w:tcW w:type="dxa" w:w="1337"/>
          </w:tcPr>
          <w:p>
            <w:r>
              <w:rPr>
                <w:b/>
              </w:rPr>
              <w:t>Urb. (%)</w:t>
            </w:r>
          </w:p>
        </w:tc>
        <w:tc>
          <w:tcPr>
            <w:tcW w:type="dxa" w:w="1337"/>
          </w:tcPr>
          <w:p>
            <w:r>
              <w:rPr>
                <w:b/>
              </w:rPr>
              <w:t>Conf.</w:t>
            </w:r>
          </w:p>
        </w:tc>
      </w:tr>
      <w:tr>
        <w:tc>
          <w:tcPr>
            <w:tcW w:type="dxa" w:w="1337"/>
          </w:tcPr>
          <w:p>
            <w:r>
              <w:t>2024</w:t>
            </w:r>
          </w:p>
        </w:tc>
        <w:tc>
          <w:tcPr>
            <w:tcW w:type="dxa" w:w="1337"/>
          </w:tcPr>
          <w:p>
            <w:r>
              <w:t>2023</w:t>
            </w:r>
          </w:p>
        </w:tc>
        <w:tc>
          <w:tcPr>
            <w:tcW w:type="dxa" w:w="1337"/>
          </w:tcPr>
          <w:p>
            <w:r>
              <w:t>3.2</w:t>
            </w:r>
          </w:p>
        </w:tc>
        <w:tc>
          <w:tcPr>
            <w:tcW w:type="dxa" w:w="1337"/>
          </w:tcPr>
          <w:p>
            <w:r>
              <w:t>1.6</w:t>
            </w:r>
          </w:p>
        </w:tc>
        <w:tc>
          <w:tcPr>
            <w:tcW w:type="dxa" w:w="1337"/>
          </w:tcPr>
          <w:p>
            <w:r>
              <w:t>79.1</w:t>
            </w:r>
          </w:p>
        </w:tc>
        <w:tc>
          <w:tcPr>
            <w:tcW w:type="dxa" w:w="1337"/>
          </w:tcPr>
          <w:p>
            <w:r>
              <w:t>8.4</w:t>
            </w:r>
          </w:p>
        </w:tc>
        <w:tc>
          <w:tcPr>
            <w:tcW w:type="dxa" w:w="1337"/>
          </w:tcPr>
          <w:p>
            <w:r>
              <w:t>40%</w:t>
            </w:r>
          </w:p>
        </w:tc>
      </w:tr>
    </w:tbl>
    <w:p/>
    <w:p>
      <w:r>
        <w:br w:type="page"/>
      </w:r>
    </w:p>
    <w:p>
      <w:pPr>
        <w:pStyle w:val="APEXHeading"/>
      </w:pPr>
      <w:r>
        <w:t>4. Gráficas de Evolución Temporal</w:t>
      </w:r>
    </w:p>
    <w:p>
      <w:pPr>
        <w:pStyle w:val="APEXSubhead"/>
      </w:pPr>
      <w:r>
        <w:t>4.1 Cambios detectados por año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066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66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APEXSubhead"/>
      </w:pPr>
      <w:r>
        <w:t>4.2 Evolución de la composición de vegetación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19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9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APEXHeading"/>
      </w:pPr>
      <w:r>
        <w:t>5. Análisis Detallado por Año</w:t>
      </w:r>
    </w:p>
    <w:p>
      <w:pPr>
        <w:pStyle w:val="APEXSubhead"/>
      </w:pPr>
      <w:r>
        <w:t>Año 2024 (base: 2023)</w:t>
      </w:r>
    </w:p>
    <w:p>
      <w:pPr>
        <w:pStyle w:val="APEXSmall"/>
      </w:pPr>
      <w:r>
        <w:t>Se detectaron 3.2 ha de deforestación en 2 zona(s) (confianza promedio: 40%) respecto al año base 2023. Expansión urbana de 1.6 ha detectada en 1 zona(s). ⚠ Alertas: Posible fraccionamiento o construccion sin permiso Cobertura de bosque denso: 79.1%, urbano: 8.4%.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2129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12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4915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915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3120"/>
          </w:tcPr>
          <w:p>
            <w:r>
              <w:t>Deforestación</w:t>
            </w:r>
          </w:p>
        </w:tc>
        <w:tc>
          <w:tcPr>
            <w:tcW w:type="dxa" w:w="3120"/>
          </w:tcPr>
          <w:p>
            <w:r>
              <w:t>3.2 ha</w:t>
            </w:r>
          </w:p>
        </w:tc>
        <w:tc>
          <w:tcPr>
            <w:tcW w:type="dxa" w:w="3120"/>
          </w:tcPr>
          <w:p>
            <w:r>
              <w:t>2.0 zona(s)</w:t>
            </w:r>
          </w:p>
        </w:tc>
      </w:tr>
      <w:tr>
        <w:tc>
          <w:tcPr>
            <w:tcW w:type="dxa" w:w="3120"/>
          </w:tcPr>
          <w:p>
            <w:r>
              <w:t>Exp. urbana</w:t>
            </w:r>
          </w:p>
        </w:tc>
        <w:tc>
          <w:tcPr>
            <w:tcW w:type="dxa" w:w="3120"/>
          </w:tcPr>
          <w:p>
            <w:r>
              <w:t>1.6 ha</w:t>
            </w:r>
          </w:p>
        </w:tc>
        <w:tc>
          <w:tcPr>
            <w:tcW w:type="dxa" w:w="3120"/>
          </w:tcPr>
          <w:p>
            <w:r>
              <w:t>1.0 zona(s)</w:t>
            </w:r>
          </w:p>
        </w:tc>
      </w:tr>
      <w:tr>
        <w:tc>
          <w:tcPr>
            <w:tcW w:type="dxa" w:w="3120"/>
          </w:tcPr>
          <w:p>
            <w:r>
              <w:t>Bosque denso</w:t>
            </w:r>
          </w:p>
        </w:tc>
        <w:tc>
          <w:tcPr>
            <w:tcW w:type="dxa" w:w="3120"/>
          </w:tcPr>
          <w:p>
            <w:r>
              <w:t>79.1%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Urbano</w:t>
            </w:r>
          </w:p>
        </w:tc>
        <w:tc>
          <w:tcPr>
            <w:tcW w:type="dxa" w:w="3120"/>
          </w:tcPr>
          <w:p>
            <w:r>
              <w:t>8.4%</w:t>
            </w:r>
          </w:p>
        </w:tc>
        <w:tc>
          <w:tcPr>
            <w:tcW w:type="dxa" w:w="3120"/>
          </w:tcPr>
          <w:p>
            <w:r/>
          </w:p>
        </w:tc>
      </w:tr>
    </w:tbl>
    <w:p/>
    <w:p>
      <w:r>
        <w:br w:type="page"/>
      </w:r>
    </w:p>
    <w:p>
      <w:pPr>
        <w:pStyle w:val="APEXHeading"/>
      </w:pPr>
      <w:r>
        <w:t>6. Conclusiones y Recomendaciones</w:t>
      </w:r>
    </w:p>
    <w:p>
      <w:pPr>
        <w:pStyle w:val="APEXBody"/>
      </w:pPr>
      <w:r>
        <w:rPr>
          <w:b/>
        </w:rPr>
        <w:t>Nivel de riesgo ambiental: BAJO (24/100)</w:t>
      </w:r>
    </w:p>
    <w:p>
      <w:pPr>
        <w:pStyle w:val="APEXBody"/>
      </w:pPr>
      <w:r>
        <w:rPr>
          <w:b/>
        </w:rPr>
        <w:t xml:space="preserve">Tendencia: </w:t>
      </w:r>
      <w:r>
        <w:t>INSUFICIENTE — Se requieren más años para determinar una tendencia.</w:t>
      </w:r>
    </w:p>
    <w:p/>
    <w:p>
      <w:pPr>
        <w:pStyle w:val="APEXSubhead"/>
      </w:pPr>
      <w:r>
        <w:t>Recomendaciones:</w:t>
      </w:r>
    </w:p>
    <w:p>
      <w:pPr>
        <w:pStyle w:val="APEXSmall"/>
      </w:pPr>
      <w:r>
        <w:t>1. Continuar el monitoreo periódico. Los indicadores se encuentran dentro de parámetros normales.</w:t>
      </w:r>
    </w:p>
    <w:p>
      <w:r>
        <w:br w:type="page"/>
      </w:r>
    </w:p>
    <w:p>
      <w:pPr>
        <w:pStyle w:val="APEXHeading"/>
      </w:pPr>
      <w:r>
        <w:t>7. Anexo Metodológico</w:t>
      </w:r>
    </w:p>
    <w:p>
      <w:pPr>
        <w:pStyle w:val="APEXBody"/>
      </w:pPr>
      <w:r>
        <w:t>Las imágenes fueron obtenidas del conjunto de datos Dynamic World (Google/WRI) con resolución espacial de 10 metros, derivado de Sentinel-2. Se procesaron con los motores de inteligencia artificial del sistema APEX.</w:t>
      </w:r>
    </w:p>
    <w:p>
      <w:pPr>
        <w:pStyle w:val="APEXBody"/>
      </w:pPr>
      <w:r>
        <w:t>Motor de Deforestación: Compara la clasificación de cobertura terrestre entre dos períodos (T1 vs T2). Se identifican transiciones de clases forestales (bosque denso, manglar, matorral) hacia clases no forestales (pastizal, suelo, urbano).</w:t>
      </w:r>
    </w:p>
    <w:p>
      <w:pPr>
        <w:pStyle w:val="APEXBody"/>
      </w:pPr>
      <w:r>
        <w:t>Motor de Expansión Urbana: Detecta transiciones hacia la clase 'urbano' desde cualquier otra cobertura. Incluye alertas automáticas para posibles construcciones sin permiso.</w:t>
      </w:r>
    </w:p>
    <w:p>
      <w:pPr>
        <w:pStyle w:val="APEXBody"/>
      </w:pPr>
      <w:r>
        <w:t>Motor de Vegetación: Clasificación de 11 clases de cobertura terrestre basada en Dynamic World V1. Se calcula el porcentaje de cada clase sobre el AOI.</w:t>
      </w:r>
    </w:p>
    <w:p>
      <w:pPr>
        <w:pStyle w:val="APEXBody"/>
      </w:pPr>
      <w:r>
        <w:t>Detección de Anomalías: Se calcula el z-score de cada indicador a lo largo de la serie temporal. Valores con z &gt; 2σ se clasifican como anomalías de severidad 'media' (2-3σ) o 'alta' (&gt;3σ).</w:t>
      </w:r>
    </w:p>
    <w:p>
      <w:pPr>
        <w:pStyle w:val="APEXBody"/>
      </w:pPr>
      <w:r>
        <w:t>Nivel de Riesgo: Score compuesto (0-100) que pondera: deforestación acumulada, expansión urbana, cambio en cobertura forestal, número de anomalías y tasa anual.</w:t>
      </w:r>
    </w:p>
    <w:p/>
    <w:p>
      <w:pPr>
        <w:pStyle w:val="APEXSmall"/>
        <w:jc w:val="center"/>
      </w:pPr>
      <w:r>
        <w:t>— Fin del reporte — Generado automáticamente por el sistema APEX —</w:t>
      </w:r>
    </w:p>
    <w:sectPr w:rsidR="00FC693F" w:rsidRPr="0006063C" w:rsidSect="00034616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EXTitle">
    <w:name w:val="APEXTitle"/>
    <w:rPr>
      <w:rFonts w:ascii="Arial" w:hAnsi="Arial"/>
      <w:b/>
      <w:color w:val="1E3A5F"/>
      <w:sz w:val="40"/>
    </w:rPr>
  </w:style>
  <w:style w:type="paragraph" w:customStyle="1" w:styleId="APEXHeading">
    <w:name w:val="APEXHeading"/>
    <w:rPr>
      <w:rFonts w:ascii="Arial" w:hAnsi="Arial"/>
      <w:b/>
      <w:color w:val="00D4FF"/>
      <w:sz w:val="28"/>
    </w:rPr>
  </w:style>
  <w:style w:type="paragraph" w:customStyle="1" w:styleId="APEXSubhead">
    <w:name w:val="APEXSubhead"/>
    <w:rPr>
      <w:rFonts w:ascii="Arial" w:hAnsi="Arial"/>
      <w:b/>
      <w:color w:val="374151"/>
      <w:sz w:val="22"/>
    </w:rPr>
  </w:style>
  <w:style w:type="paragraph" w:customStyle="1" w:styleId="APEXBody">
    <w:name w:val="APEXBody"/>
    <w:rPr>
      <w:rFonts w:ascii="Arial" w:hAnsi="Arial"/>
      <w:color w:val="1F2937"/>
      <w:sz w:val="20"/>
    </w:rPr>
  </w:style>
  <w:style w:type="paragraph" w:customStyle="1" w:styleId="APEXSmall">
    <w:name w:val="APEXSmall"/>
    <w:rPr>
      <w:rFonts w:ascii="Arial" w:hAnsi="Arial"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