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Michigan Ranks 19th in the Nation in Highway Performance and Cost-Effectiveness</w:t>
      </w:r>
    </w:p>
    <w:p>
      <w:r>
        <w:t>Michigan’s highway system ranks 19th in the nation in overall cost-effectiveness and condition.</w:t>
      </w:r>
    </w:p>
    <w:p>
      <w:r>
        <w:t>According to the Annual Highway Report by Reason Foundation, this is a change from the state's previous rankings.</w:t>
      </w:r>
    </w:p>
    <w:p>
      <w:r>
        <w:t>In safety and condition categories, Michigan’s highways rank 42nd in urban Interstate pavement condition, 40th in rural Interstate pavement condition, 32nd in urban arterial pavement condition, 19th in rural arterial pavement condition, 43rd in structurally deficient bridges, 21st in urban fatality rate, and 12th in rural fatality rate.</w:t>
      </w:r>
    </w:p>
    <w:p>
      <w:r>
        <w:t>Michigan ranks 16th out of the 50 states in traffic congestion, and its drivers spend 16.83 hours a year stuck in traffic congestion.</w:t>
      </w:r>
    </w:p>
    <w:p>
      <w:r>
        <w:t>In spending and cost-effectiveness, Michigan ranks 30th in capital and bridge disbursements, which are the costs of building new roads and bridges and widening existing ones. Michigan ranks 13th in maintenance spending, such as the costs of repaving roads and filling in potholes. Michigan’s administrative disbursements, including office spending that doesn’t make its way to roads, rank 8th nationwide.</w:t>
      </w:r>
    </w:p>
    <w:p>
      <w:r>
        <w:t>Compared to last year, Michigan has the following notable changes in rankings: Capital &amp; Bridge Disbursements improved by 9 points, from 39 to 30; Maintenance Disbursements improved by 6 points, from 19 to 13; Rural Fatality Rate worsened by 5 points, from 7 to 12; Other Fatality Rate worsened by 6 points, from 21 to 27.</w:t>
      </w:r>
    </w:p>
    <w:p>
      <w:r>
        <w:t>Compared to neighboring and nearby states, Michigan’s overall highway performance is worse than Ohio (5th); better than Wisconsin (33rd) and Indiana (24th).</w:t>
      </w:r>
    </w:p>
    <w:p>
      <w:r>
        <w:t>Comparing its overall performance to similarly populated states, Michigan ranks better than New Jersey (41st); worse than North Carolina (6th).</w:t>
      </w:r>
    </w:p>
    <w:p>
      <w:r>
        <w:t>Michigan’s highway system ranks 19th out of 50 states overall this year, compared to 23rd last year.</w:t>
      </w:r>
    </w:p>
    <w:p>
      <w:r>
        <w:t>“In terms of improving in the road condition and performance categories, Michigan should focus on reducing Structurally Deficient Bridges and Urban Interstate Pavement Condition. Michigan’s rank of 43rd in Structurally Deficient Bridges makes it one of the worst in the nation for this safety metric,” said Baruch Feigenbaum, lead author of the 30th Annual Highway Report and senior managing director of transportation policy at Reason Foundation.</w:t>
      </w:r>
    </w:p>
    <w:p>
      <w:r>
        <w:rPr>
          <w:b/>
          <w:color w:val="FF5500"/>
          <w:sz w:val="28"/>
        </w:rPr>
        <w:t>MICHIGAN’S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19</w:t>
            </w:r>
          </w:p>
        </w:tc>
      </w:tr>
      <w:tr>
        <w:tc>
          <w:tcPr>
            <w:tcW w:type="dxa" w:w="4320"/>
          </w:tcPr>
          <w:p>
            <w:r>
              <w:rPr>
                <w:sz w:val="20"/>
              </w:rPr>
              <w:t>Capital &amp; Bridge Disbursements</w:t>
            </w:r>
          </w:p>
        </w:tc>
        <w:tc>
          <w:tcPr>
            <w:tcW w:type="dxa" w:w="4320"/>
          </w:tcPr>
          <w:p>
            <w:pPr>
              <w:jc w:val="right"/>
            </w:pPr>
            <w:r>
              <w:rPr>
                <w:sz w:val="20"/>
              </w:rPr>
              <w:t>30</w:t>
            </w:r>
          </w:p>
        </w:tc>
      </w:tr>
      <w:tr>
        <w:tc>
          <w:tcPr>
            <w:tcW w:type="dxa" w:w="4320"/>
            <w:shd w:fill="F0F0F0"/>
          </w:tcPr>
          <w:p>
            <w:r>
              <w:rPr>
                <w:sz w:val="20"/>
              </w:rPr>
              <w:t>Maintenance Disbursements</w:t>
            </w:r>
          </w:p>
        </w:tc>
        <w:tc>
          <w:tcPr>
            <w:tcW w:type="dxa" w:w="4320"/>
            <w:shd w:fill="F0F0F0"/>
          </w:tcPr>
          <w:p>
            <w:pPr>
              <w:jc w:val="right"/>
            </w:pPr>
            <w:r>
              <w:rPr>
                <w:sz w:val="20"/>
              </w:rPr>
              <w:t>13</w:t>
            </w:r>
          </w:p>
        </w:tc>
      </w:tr>
      <w:tr>
        <w:tc>
          <w:tcPr>
            <w:tcW w:type="dxa" w:w="4320"/>
          </w:tcPr>
          <w:p>
            <w:r>
              <w:rPr>
                <w:sz w:val="20"/>
              </w:rPr>
              <w:t>Administrative Disbursements</w:t>
            </w:r>
          </w:p>
        </w:tc>
        <w:tc>
          <w:tcPr>
            <w:tcW w:type="dxa" w:w="4320"/>
          </w:tcPr>
          <w:p>
            <w:pPr>
              <w:jc w:val="right"/>
            </w:pPr>
            <w:r>
              <w:rPr>
                <w:sz w:val="20"/>
              </w:rPr>
              <w:t>8</w:t>
            </w:r>
          </w:p>
        </w:tc>
      </w:tr>
      <w:tr>
        <w:tc>
          <w:tcPr>
            <w:tcW w:type="dxa" w:w="4320"/>
            <w:shd w:fill="F0F0F0"/>
          </w:tcPr>
          <w:p>
            <w:r>
              <w:rPr>
                <w:sz w:val="20"/>
              </w:rPr>
              <w:t>Other Disbursements</w:t>
            </w:r>
          </w:p>
        </w:tc>
        <w:tc>
          <w:tcPr>
            <w:tcW w:type="dxa" w:w="4320"/>
            <w:shd w:fill="F0F0F0"/>
          </w:tcPr>
          <w:p>
            <w:pPr>
              <w:jc w:val="right"/>
            </w:pPr>
            <w:r>
              <w:rPr>
                <w:sz w:val="20"/>
              </w:rPr>
              <w:t>17</w:t>
            </w:r>
          </w:p>
        </w:tc>
      </w:tr>
      <w:tr>
        <w:tc>
          <w:tcPr>
            <w:tcW w:type="dxa" w:w="4320"/>
          </w:tcPr>
          <w:p>
            <w:r>
              <w:rPr>
                <w:sz w:val="20"/>
              </w:rPr>
              <w:t>Rural Interstate Pavement Condition</w:t>
            </w:r>
          </w:p>
        </w:tc>
        <w:tc>
          <w:tcPr>
            <w:tcW w:type="dxa" w:w="4320"/>
          </w:tcPr>
          <w:p>
            <w:pPr>
              <w:jc w:val="right"/>
            </w:pPr>
            <w:r>
              <w:rPr>
                <w:sz w:val="20"/>
              </w:rPr>
              <w:t>40</w:t>
            </w:r>
          </w:p>
        </w:tc>
      </w:tr>
      <w:tr>
        <w:tc>
          <w:tcPr>
            <w:tcW w:type="dxa" w:w="4320"/>
            <w:shd w:fill="F0F0F0"/>
          </w:tcPr>
          <w:p>
            <w:r>
              <w:rPr>
                <w:sz w:val="20"/>
              </w:rPr>
              <w:t>Rural Other Principal Arterial Pavement Condition</w:t>
            </w:r>
          </w:p>
        </w:tc>
        <w:tc>
          <w:tcPr>
            <w:tcW w:type="dxa" w:w="4320"/>
            <w:shd w:fill="F0F0F0"/>
          </w:tcPr>
          <w:p>
            <w:pPr>
              <w:jc w:val="right"/>
            </w:pPr>
            <w:r>
              <w:rPr>
                <w:sz w:val="20"/>
              </w:rPr>
              <w:t>19</w:t>
            </w:r>
          </w:p>
        </w:tc>
      </w:tr>
      <w:tr>
        <w:tc>
          <w:tcPr>
            <w:tcW w:type="dxa" w:w="4320"/>
          </w:tcPr>
          <w:p>
            <w:r>
              <w:rPr>
                <w:sz w:val="20"/>
              </w:rPr>
              <w:t>Urban Interstate Pavement Condition</w:t>
            </w:r>
          </w:p>
        </w:tc>
        <w:tc>
          <w:tcPr>
            <w:tcW w:type="dxa" w:w="4320"/>
          </w:tcPr>
          <w:p>
            <w:pPr>
              <w:jc w:val="right"/>
            </w:pPr>
            <w:r>
              <w:rPr>
                <w:sz w:val="20"/>
              </w:rPr>
              <w:t>42</w:t>
            </w:r>
          </w:p>
        </w:tc>
      </w:tr>
      <w:tr>
        <w:tc>
          <w:tcPr>
            <w:tcW w:type="dxa" w:w="4320"/>
            <w:shd w:fill="F0F0F0"/>
          </w:tcPr>
          <w:p>
            <w:r>
              <w:rPr>
                <w:sz w:val="20"/>
              </w:rPr>
              <w:t>Urban Other Principal Arterial Pavement Condition</w:t>
            </w:r>
          </w:p>
        </w:tc>
        <w:tc>
          <w:tcPr>
            <w:tcW w:type="dxa" w:w="4320"/>
            <w:shd w:fill="F0F0F0"/>
          </w:tcPr>
          <w:p>
            <w:pPr>
              <w:jc w:val="right"/>
            </w:pPr>
            <w:r>
              <w:rPr>
                <w:sz w:val="20"/>
              </w:rPr>
              <w:t>32</w:t>
            </w:r>
          </w:p>
        </w:tc>
      </w:tr>
      <w:tr>
        <w:tc>
          <w:tcPr>
            <w:tcW w:type="dxa" w:w="4320"/>
          </w:tcPr>
          <w:p>
            <w:r>
              <w:rPr>
                <w:sz w:val="20"/>
              </w:rPr>
              <w:t>Urbanized Area Congestion</w:t>
            </w:r>
          </w:p>
        </w:tc>
        <w:tc>
          <w:tcPr>
            <w:tcW w:type="dxa" w:w="4320"/>
          </w:tcPr>
          <w:p>
            <w:pPr>
              <w:jc w:val="right"/>
            </w:pPr>
            <w:r>
              <w:rPr>
                <w:sz w:val="20"/>
              </w:rPr>
              <w:t>16</w:t>
            </w:r>
          </w:p>
        </w:tc>
      </w:tr>
      <w:tr>
        <w:tc>
          <w:tcPr>
            <w:tcW w:type="dxa" w:w="4320"/>
            <w:shd w:fill="F0F0F0"/>
          </w:tcPr>
          <w:p>
            <w:r>
              <w:rPr>
                <w:sz w:val="20"/>
              </w:rPr>
              <w:t>Structurally Deficient Bridges</w:t>
            </w:r>
          </w:p>
        </w:tc>
        <w:tc>
          <w:tcPr>
            <w:tcW w:type="dxa" w:w="4320"/>
            <w:shd w:fill="F0F0F0"/>
          </w:tcPr>
          <w:p>
            <w:pPr>
              <w:jc w:val="right"/>
            </w:pPr>
            <w:r>
              <w:rPr>
                <w:sz w:val="20"/>
              </w:rPr>
              <w:t>43</w:t>
            </w:r>
          </w:p>
        </w:tc>
      </w:tr>
      <w:tr>
        <w:tc>
          <w:tcPr>
            <w:tcW w:type="dxa" w:w="4320"/>
          </w:tcPr>
          <w:p>
            <w:r>
              <w:rPr>
                <w:sz w:val="20"/>
              </w:rPr>
              <w:t>Rural Fatality Rate</w:t>
            </w:r>
          </w:p>
        </w:tc>
        <w:tc>
          <w:tcPr>
            <w:tcW w:type="dxa" w:w="4320"/>
          </w:tcPr>
          <w:p>
            <w:pPr>
              <w:jc w:val="right"/>
            </w:pPr>
            <w:r>
              <w:rPr>
                <w:sz w:val="20"/>
              </w:rPr>
              <w:t>12</w:t>
            </w:r>
          </w:p>
        </w:tc>
      </w:tr>
      <w:tr>
        <w:tc>
          <w:tcPr>
            <w:tcW w:type="dxa" w:w="4320"/>
            <w:shd w:fill="F0F0F0"/>
          </w:tcPr>
          <w:p>
            <w:r>
              <w:rPr>
                <w:sz w:val="20"/>
              </w:rPr>
              <w:t>Urban Fatality Rate</w:t>
            </w:r>
          </w:p>
        </w:tc>
        <w:tc>
          <w:tcPr>
            <w:tcW w:type="dxa" w:w="4320"/>
            <w:shd w:fill="F0F0F0"/>
          </w:tcPr>
          <w:p>
            <w:pPr>
              <w:jc w:val="right"/>
            </w:pPr>
            <w:r>
              <w:rPr>
                <w:sz w:val="20"/>
              </w:rPr>
              <w:t>21</w:t>
            </w:r>
          </w:p>
        </w:tc>
      </w:tr>
      <w:tr>
        <w:tc>
          <w:tcPr>
            <w:tcW w:type="dxa" w:w="4320"/>
          </w:tcPr>
          <w:p>
            <w:r>
              <w:rPr>
                <w:sz w:val="20"/>
              </w:rPr>
              <w:t>Other Fatality Rate</w:t>
            </w:r>
          </w:p>
        </w:tc>
        <w:tc>
          <w:tcPr>
            <w:tcW w:type="dxa" w:w="4320"/>
          </w:tcPr>
          <w:p>
            <w:pPr>
              <w:jc w:val="right"/>
            </w:pPr>
            <w:r>
              <w:rPr>
                <w:sz w:val="20"/>
              </w:rPr>
              <w:t>27</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