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メモリーデバイスのホール内輸送</w:t>
        <w:br/>
        <w:t>帯電シミュレータ</w:t>
      </w:r>
    </w:p>
    <w:p>
      <w:pPr>
        <w:pStyle w:val="Subtitle"/>
      </w:pPr>
      <w:r>
        <w:t>仕様と実装計画  v0.5  2026年9月30日</w:t>
      </w:r>
    </w:p>
    <w:p>
      <w:r>
        <w:rPr>
          <w:b w:val="0"/>
        </w:rPr>
        <w:t>コンタクトホールとチャネルホールのエッチング時の、イオン・電子輸送、表面帯電、電場と軌道の連成を計算する研究用アプリを開発する。全寸法を入力パラメーターとし、これまでの数値は初期プリセットとして保持する。初版Aは、ChannelとCarbon下面から基板までの金属充填dummyを3次元固定形状で扱い、径・膜厚・深さ・配置を変更して比較する。後続Bでは反応と形状発展を加え、形状異常の再現を目指す。</w:t>
      </w:r>
    </w:p>
    <w:p>
      <w:r>
        <w:rPr>
          <w:b w:val="0"/>
        </w:rPr>
        <w:t>入口データにはIAEDF-Simの出力を使い、WindowsとRTX 5070 Tiを対象とする。IAEDF-Simへ入力したウェハ電位波形を、Carbonと基板の共通境界電位として使う。4900 pFはウェハ全体の等価容量であり、初版Aの局所モデルで電位を再計算するためには使わない。</w:t>
      </w:r>
    </w:p>
    <w:p>
      <w:pPr>
        <w:pStyle w:val="Heading1"/>
      </w:pPr>
      <w:r>
        <w:t>1 目的と初版の範囲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654"/>
      </w:tblGrid>
      <w:tr>
        <w:trPr>
          <w:cantSplit/>
          <w:tblHeader/>
        </w:trPr>
        <w:tc>
          <w:tcPr>
            <w:tcW w:type="dxa" w:w="1512"/>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項目</w:t>
            </w:r>
          </w:p>
        </w:tc>
        <w:tc>
          <w:tcPr>
            <w:tcW w:type="dxa" w:w="8654"/>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初版で扱う内容</w:t>
            </w:r>
          </w:p>
        </w:tc>
      </w:tr>
      <w:tr>
        <w:trPr>
          <w:cantSplit/>
        </w:trPr>
        <w:tc>
          <w:tcPr>
            <w:tcW w:type="dxa" w:w="151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形状</w:t>
            </w:r>
          </w:p>
        </w:tc>
        <w:tc>
          <w:tcPr>
            <w:tcW w:type="dxa" w:w="865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Channel径・深さ・プロファイル、膜厚、金属径・個数・位置・接続範囲をパラメーター化。初版Aは各ケース内で固定形状。</w:t>
            </w:r>
          </w:p>
        </w:tc>
      </w:tr>
      <w:tr>
        <w:trPr>
          <w:cantSplit/>
        </w:trPr>
        <w:tc>
          <w:tcPr>
            <w:tcW w:type="dxa" w:w="151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輸送</w:t>
            </w:r>
          </w:p>
        </w:tc>
        <w:tc>
          <w:tcPr>
            <w:tcW w:type="dxa" w:w="865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複数イオン種と電子。位置・速度・電場は3次元。単一ホールの軸対称計算を参照モードとして残す。</w:t>
            </w:r>
          </w:p>
        </w:tc>
      </w:tr>
      <w:tr>
        <w:trPr>
          <w:cantSplit/>
        </w:trPr>
        <w:tc>
          <w:tcPr>
            <w:tcW w:type="dxa" w:w="151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帯電</w:t>
            </w:r>
          </w:p>
        </w:tc>
        <w:tc>
          <w:tcPr>
            <w:tcW w:type="dxa" w:w="865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SiO₂の局所表面電荷を更新し、指定ウェハ電位の下で電場を再計算。導体の誘導電荷・電流は別集計。</w:t>
            </w:r>
          </w:p>
        </w:tc>
      </w:tr>
      <w:tr>
        <w:trPr>
          <w:cantSplit/>
        </w:trPr>
        <w:tc>
          <w:tcPr>
            <w:tcW w:type="dxa" w:w="151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比較</w:t>
            </w:r>
          </w:p>
        </w:tc>
        <w:tc>
          <w:tcPr>
            <w:tcW w:type="dxa" w:w="865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帯電を無効にした基準ケース、指定電荷での軌道追跡、自己無撞着な帯電の3モード。</w:t>
            </w:r>
          </w:p>
        </w:tc>
      </w:tr>
      <w:tr>
        <w:trPr>
          <w:cantSplit/>
        </w:trPr>
        <w:tc>
          <w:tcPr>
            <w:tcW w:type="dxa" w:w="151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出力</w:t>
            </w:r>
          </w:p>
        </w:tc>
        <w:tc>
          <w:tcPr>
            <w:tcW w:type="dxa" w:w="865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電位・電場・表面電荷、底部到達率、壁面衝突分布、衝突エネルギー・角度、時間変化と統計誤差。</w:t>
            </w:r>
          </w:p>
        </w:tc>
      </w:tr>
      <w:tr>
        <w:trPr>
          <w:cantSplit/>
        </w:trPr>
        <w:tc>
          <w:tcPr>
            <w:tcW w:type="dxa" w:w="151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実行</w:t>
            </w:r>
          </w:p>
        </w:tc>
        <w:tc>
          <w:tcPr>
            <w:tcW w:type="dxa" w:w="865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GPU計算とCPU参照計算。IAEDF-Sim取込、条件保存、停止・再開、バッチ実行、CSVとHDF5出力。</w:t>
            </w:r>
          </w:p>
        </w:tc>
      </w:tr>
    </w:tbl>
    <w:p>
      <w:pPr>
        <w:spacing w:after="20"/>
      </w:pPr>
    </w:p>
    <w:p>
      <w:r>
        <w:rPr>
          <w:b w:val="0"/>
        </w:rPr>
        <w:t>3次元モデルで埋め込み金属の配置による電場・帯電差を評価する。粒子が通る開口はChannel holeであり、dummy内は粒子輸送領域に含めない。軸対称モードは単一Channelの検証と性能比較に使う。固定形状の結果は輸送の非対称性として扱い、形状異常の成長には中性種・反応収率・表面被覆率と形状更新を追加する。</w:t>
      </w:r>
    </w:p>
    <w:p>
      <w:pPr>
        <w:pStyle w:val="Heading1"/>
      </w:pPr>
      <w:r>
        <w:t>2 入力と境界条件</w:t>
      </w:r>
    </w:p>
    <w:p>
      <w:r>
        <w:rPr>
          <w:b w:val="0"/>
        </w:rPr>
        <w:t>内部計算はSI単位に統一し、画面では長さをnmまたはµm、エネルギーをeV、角度を度で編集する。全寸法、個数、位置と形状プロファイルを版付き設定へ保存する。独立入力と派生量を区別し、寸法の依存関係を画面に示す。分布の出典、評価面、電位基準、角度定義、規格化もケースに保存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8179"/>
      </w:tblGrid>
      <w:tr>
        <w:trPr>
          <w:cantSplit/>
          <w:tblHeader/>
        </w:trPr>
        <w:tc>
          <w:tcPr>
            <w:tcW w:type="dxa" w:w="1987"/>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入力群</w:t>
            </w:r>
          </w:p>
        </w:tc>
        <w:tc>
          <w:tcPr>
            <w:tcW w:type="dxa" w:w="8179"/>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必須項目と形式</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ホール形状</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全寸法、金属個数、配置モード、共通値と個別上書き、接続端、計算領域寸法。初期値と派生量は第9・11節。</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材料と電気条件</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SiO₂誘電率と初期電荷、ウェハ波形とRF位相。Carbon・金属部・基板は共通導体。4900 pFはウェハ全体の等価容量。</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イオン種</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質量、電荷数、種ごとの絶対流束とエネルギー・角度の同時分布。</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電子</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入口の流束と同時分布。近似入力では電子温度と流束を別々に指定。</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分布データ</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CSVのビン境界とビン確率、または重み付き粒子サンプル。エネルギーと角度の相関を保持。</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入口位置</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分布を評価した注入面、面積、電位基準。空間分布が不明なら軸対称一様を明示。</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表面相互作用</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材料・種・衝突エネルギー・角度ごとの吸収、反射、中性化、二次電子放出の係数。</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漏れ電流</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初版は電荷保持を基準とし、指定の緩和時間を使う近似漏れモデルを選択可能。</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気相条件</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ガス種、圧力、温度。断面積データがあれば衝突省略の妥当性を推定。</w:t>
            </w:r>
          </w:p>
        </w:tc>
      </w:tr>
      <w:tr>
        <w:trPr>
          <w:cantSplit/>
        </w:trPr>
        <w:tc>
          <w:tcPr>
            <w:tcW w:type="dxa" w:w="1987"/>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数値条件</w:t>
            </w:r>
          </w:p>
        </w:tc>
        <w:tc>
          <w:tcPr>
            <w:tcW w:type="dxa" w:w="8179"/>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メッシュ、バッチ粒子数、乱数シード、帯電時間、精度目標、保存間隔。</w:t>
            </w:r>
          </w:p>
        </w:tc>
      </w:tr>
    </w:tbl>
    <w:p>
      <w:pPr>
        <w:spacing w:after="20"/>
      </w:pPr>
    </w:p>
    <w:p>
      <w:pPr>
        <w:pStyle w:val="Heading2"/>
      </w:pPr>
      <w:r>
        <w:t>入口分布と電位の整合</w:t>
      </w:r>
    </w:p>
    <w:p>
      <w:r>
        <w:rPr>
          <w:b w:val="0"/>
        </w:rPr>
        <w:t>注入面のエネルギーには、その面までのシース加速が既に含まれるかを記録する。入力に含まれるシース電圧をホール内部で再度加算しない。電子には面を横切る入射流束分布を使用する。電子温度から生成する場合、単純な等方速度サンプリングではなく、法線速度で重み付けした入射分布を生成する。</w:t>
      </w:r>
    </w:p>
    <w:p>
      <w:r>
        <w:rPr>
          <w:b w:val="0"/>
        </w:rPr>
        <w:t>流束の単位は粒子数毎平方メートル毎秒とし、評価面の法線方向の流束かを明示する。電子温度だけでは絶対電子流束を決めない。イオンと電子の電流を各壁面で強制的に一致させず、入口条件に従って帯電を計算する。</w:t>
      </w:r>
    </w:p>
    <w:p>
      <w:r>
        <w:rPr>
          <w:b w:val="0"/>
        </w:rPr>
        <w:t>電場領域にはChannel入口外側、Carbon、周囲のSiO₂と埋め込み金属を含める。粒子領域は気相だけとし、dummyには開口・注入面を設けない。外側境界は指定電位または指定法線電束を選ぶ。主計算は全周360°とし、実際の配列に対応する外側境界の感度を確認する。初版Aは指定ウェハ波形を用い、未知電位のESC回路連成は後続モードとする。</w:t>
      </w:r>
    </w:p>
    <w:p>
      <w:pPr>
        <w:pStyle w:val="Heading1"/>
      </w:pPr>
      <w:r>
        <w:t>3 物理モデルと適用条件</w:t>
      </w:r>
    </w:p>
    <w:p>
      <w:pPr>
        <w:pStyle w:val="Heading2"/>
      </w:pPr>
      <w:r>
        <w:t>電場と誘電体界面</w:t>
      </w:r>
    </w:p>
    <w:p>
      <w:pPr>
        <w:keepNext/>
        <w:spacing w:line="240" w:lineRule="auto" w:after="120"/>
        <w:jc w:val="center"/>
      </w:pPr>
      <w:r>
        <w:drawing>
          <wp:inline xmlns:a="http://schemas.openxmlformats.org/drawingml/2006/main" xmlns:pic="http://schemas.openxmlformats.org/drawingml/2006/picture">
            <wp:extent cx="5120640" cy="580411"/>
            <wp:docPr id="1" name="Picture 1"/>
            <wp:cNvGraphicFramePr>
              <a:graphicFrameLocks noChangeAspect="1"/>
            </wp:cNvGraphicFramePr>
            <a:graphic>
              <a:graphicData uri="http://schemas.openxmlformats.org/drawingml/2006/picture">
                <pic:pic>
                  <pic:nvPicPr>
                    <pic:cNvPr id="0" name="eq_field.png"/>
                    <pic:cNvPicPr/>
                  </pic:nvPicPr>
                  <pic:blipFill>
                    <a:blip r:embed="rId10"/>
                    <a:stretch>
                      <a:fillRect/>
                    </a:stretch>
                  </pic:blipFill>
                  <pic:spPr>
                    <a:xfrm>
                      <a:off x="0" y="0"/>
                      <a:ext cx="5120640" cy="580411"/>
                    </a:xfrm>
                    <a:prstGeom prst="rect"/>
                  </pic:spPr>
                </pic:pic>
              </a:graphicData>
            </a:graphic>
          </wp:inline>
        </w:drawing>
      </w:r>
    </w:p>
    <w:p>
      <w:r>
        <w:rPr>
          <w:b w:val="0"/>
        </w:rPr>
        <w:t>電位をφ、電場をE、誘電率をε、気相の体積電荷密度をρvとする。気相と固体の両方で電位を解き、材料ごとの誘電率を与える。初版の基準モードでは気相空間電荷をゼロとし、壁面の電荷を界面条件として与える。壁面電荷を気相の体積電荷へ二重に計上しない。</w:t>
      </w:r>
    </w:p>
    <w:p>
      <w:pPr>
        <w:keepNext/>
        <w:spacing w:line="240" w:lineRule="auto" w:after="120"/>
        <w:jc w:val="center"/>
      </w:pPr>
      <w:r>
        <w:drawing>
          <wp:inline xmlns:a="http://schemas.openxmlformats.org/drawingml/2006/main" xmlns:pic="http://schemas.openxmlformats.org/drawingml/2006/picture">
            <wp:extent cx="5577840" cy="595387"/>
            <wp:docPr id="2" name="Picture 2"/>
            <wp:cNvGraphicFramePr>
              <a:graphicFrameLocks noChangeAspect="1"/>
            </wp:cNvGraphicFramePr>
            <a:graphic>
              <a:graphicData uri="http://schemas.openxmlformats.org/drawingml/2006/picture">
                <pic:pic>
                  <pic:nvPicPr>
                    <pic:cNvPr id="0" name="eq_interface.png"/>
                    <pic:cNvPicPr/>
                  </pic:nvPicPr>
                  <pic:blipFill>
                    <a:blip r:embed="rId11"/>
                    <a:stretch>
                      <a:fillRect/>
                    </a:stretch>
                  </pic:blipFill>
                  <pic:spPr>
                    <a:xfrm>
                      <a:off x="0" y="0"/>
                      <a:ext cx="5577840" cy="595387"/>
                    </a:xfrm>
                    <a:prstGeom prst="rect"/>
                  </pic:spPr>
                </pic:pic>
              </a:graphicData>
            </a:graphic>
          </wp:inline>
        </w:drawing>
      </w:r>
    </w:p>
    <w:p>
      <w:r>
        <w:rPr>
          <w:b w:val="0"/>
        </w:rPr>
        <w:t>法線nは固体から気相へ向ける。電位の連続性と上式の電束の跳びを満たす。3次元では実際の体積・表面積を使う。参照用の軸対称モードでは体積・表面とも2πrの重みを使い、軸近傍を有限面積の積分で扱う。</w:t>
      </w:r>
    </w:p>
    <w:p>
      <w:pPr>
        <w:pStyle w:val="Heading2"/>
      </w:pPr>
      <w:r>
        <w:t>粒子の運動</w:t>
      </w:r>
    </w:p>
    <w:p>
      <w:pPr>
        <w:keepNext/>
        <w:spacing w:line="240" w:lineRule="auto" w:after="120"/>
        <w:jc w:val="center"/>
      </w:pPr>
      <w:r>
        <w:drawing>
          <wp:inline xmlns:a="http://schemas.openxmlformats.org/drawingml/2006/main" xmlns:pic="http://schemas.openxmlformats.org/drawingml/2006/picture">
            <wp:extent cx="4572000" cy="659110"/>
            <wp:docPr id="3" name="Picture 3"/>
            <wp:cNvGraphicFramePr>
              <a:graphicFrameLocks noChangeAspect="1"/>
            </wp:cNvGraphicFramePr>
            <a:graphic>
              <a:graphicData uri="http://schemas.openxmlformats.org/drawingml/2006/picture">
                <pic:pic>
                  <pic:nvPicPr>
                    <pic:cNvPr id="0" name="eq_motion.png"/>
                    <pic:cNvPicPr/>
                  </pic:nvPicPr>
                  <pic:blipFill>
                    <a:blip r:embed="rId12"/>
                    <a:stretch>
                      <a:fillRect/>
                    </a:stretch>
                  </pic:blipFill>
                  <pic:spPr>
                    <a:xfrm>
                      <a:off x="0" y="0"/>
                      <a:ext cx="4572000" cy="659110"/>
                    </a:xfrm>
                    <a:prstGeom prst="rect"/>
                  </pic:spPr>
                </pic:pic>
              </a:graphicData>
            </a:graphic>
          </wp:inline>
        </w:drawing>
      </w:r>
    </w:p>
    <w:p>
      <w:r>
        <w:rPr>
          <w:b w:val="0"/>
        </w:rPr>
        <w:t>イオンと電子を同じ運動方程式で追跡し、質量と電荷を種ごとに変える。主計算では3次元メッシュから電場を補間する。軸対称参照モードのみ、半径から電場を直交成分へ変換する。初版は準静電場を扱い、RF位相に対応した境界電位と入口分布を使用する。磁場、気相電離、粒子間の二体衝突は対象条件に応じて追加する。</w:t>
      </w:r>
    </w:p>
    <w:p>
      <w:pPr>
        <w:pStyle w:val="Heading2"/>
      </w:pPr>
      <w:r>
        <w:t>表面電荷の収支</w:t>
      </w:r>
    </w:p>
    <w:p>
      <w:pPr>
        <w:keepNext/>
        <w:spacing w:line="240" w:lineRule="auto" w:after="120"/>
        <w:jc w:val="center"/>
      </w:pPr>
      <w:r>
        <w:drawing>
          <wp:inline xmlns:a="http://schemas.openxmlformats.org/drawingml/2006/main" xmlns:pic="http://schemas.openxmlformats.org/drawingml/2006/picture">
            <wp:extent cx="4754880" cy="811200"/>
            <wp:docPr id="4" name="Picture 4"/>
            <wp:cNvGraphicFramePr>
              <a:graphicFrameLocks noChangeAspect="1"/>
            </wp:cNvGraphicFramePr>
            <a:graphic>
              <a:graphicData uri="http://schemas.openxmlformats.org/drawingml/2006/picture">
                <pic:pic>
                  <pic:nvPicPr>
                    <pic:cNvPr id="0" name="eq_charge.png"/>
                    <pic:cNvPicPr/>
                  </pic:nvPicPr>
                  <pic:blipFill>
                    <a:blip r:embed="rId13"/>
                    <a:stretch>
                      <a:fillRect/>
                    </a:stretch>
                  </pic:blipFill>
                  <pic:spPr>
                    <a:xfrm>
                      <a:off x="0" y="0"/>
                      <a:ext cx="4754880" cy="811200"/>
                    </a:xfrm>
                    <a:prstGeom prst="rect"/>
                  </pic:spPr>
                </pic:pic>
              </a:graphicData>
            </a:graphic>
          </wp:inline>
        </w:drawing>
      </w:r>
    </w:p>
    <w:p>
      <w:r>
        <w:rPr>
          <w:b w:val="0"/>
        </w:rPr>
        <w:t>σは表面電荷密度、jdepは壁面への正味電荷流入、jleakは固体側へ流出する電流密度、Ksは表面を流れる電流である。初版ではKsをゼロとし、jleakはゼロまたは指定の電荷緩和モデルとする。緩和モデルは実材料の導電経路を再現するものではなく、感度評価に使う。</w:t>
      </w:r>
    </w:p>
    <w:p>
      <w:r>
        <w:rPr>
          <w:b w:val="0"/>
        </w:rPr>
        <w:t>正味の壁面電荷変化は「入射電荷 − 壁から出る電荷」で計算する。電子反射は吸収と区別し、二次電子の放出と再衝突も収支に含める。イオンが中性化して反射した場合、壁には電荷が残り、反射した中性粒子は電場による力を受けない。係数未校正の全吸収モードは検証用として明示する。</w:t>
      </w:r>
    </w:p>
    <w:p>
      <w:pPr>
        <w:pStyle w:val="Heading2"/>
      </w:pPr>
      <w:r>
        <w:t>近似の診断</w:t>
      </w:r>
    </w:p>
    <w:p>
      <w:r>
        <w:rPr>
          <w:b w:val="0"/>
        </w:rPr>
        <w:t>代表的な飛行時間が帯電・境界条件の変化時間より十分短い場合に、凍結電場での輸送を使う。気相衝突は経路上のガス密度と種別断面積から確率を推定し、省略の目安を1%未満とする。空間電荷は滞在時間から密度を推定し、試験的に加えた際の主要出力の変化5%以内を目標に妥当性を確認する。診断が成立しない条件はMCC、体積電荷の連成、または時間分解PICの検討へ進める。</w:t>
      </w:r>
    </w:p>
    <w:p>
      <w:pPr>
        <w:pStyle w:val="Heading1"/>
      </w:pPr>
      <w:r>
        <w:t>4 連成アルゴリズムと高速化</w:t>
      </w:r>
    </w:p>
    <w:p>
      <w:r>
        <w:rPr>
          <w:b w:val="0"/>
        </w:rPr>
        <w:t>計算粒子は実粒子の集合を表す統計的な代表粒子とする。種ごとに、注入流束・面積・帯電時間刻み・サンプル数から重みを決める。粒子数を増減しても、同じ流束と物理時間に対応する壁面電荷が変わらないことを保証する。重要度サンプリングでは提案分布と物理分布の比も重みに含める。</w:t>
      </w:r>
    </w:p>
    <w:p>
      <w:pPr>
        <w:pStyle w:val="Heading2"/>
      </w:pPr>
      <w:r>
        <w:t>1回の帯電更新</w:t>
      </w:r>
    </w:p>
    <w:p>
      <w:r>
        <w:rPr>
          <w:b w:val="0"/>
        </w:rPr>
        <w:t>1 形状、材料、現在の表面電荷、外側境界から電位と電場を解く。</w:t>
      </w:r>
    </w:p>
    <w:p>
      <w:r>
        <w:rPr>
          <w:b w:val="0"/>
        </w:rPr>
        <w:t>2 入口分布からイオンと電子を種別に生成し、凍結した電場で独立に追跡する。</w:t>
      </w:r>
    </w:p>
    <w:p>
      <w:r>
        <w:rPr>
          <w:b w:val="0"/>
        </w:rPr>
        <w:t>3 壁面との最初の交差を検出し、表面相互作用を適用する。反射粒子と二次電子も追跡する。</w:t>
      </w:r>
    </w:p>
    <w:p>
      <w:r>
        <w:rPr>
          <w:b w:val="0"/>
        </w:rPr>
        <w:t>4 壁面ごとの重み付き電荷流入、衝突分布、逃走粒子、滞在時間を集計する。</w:t>
      </w:r>
    </w:p>
    <w:p>
      <w:r>
        <w:rPr>
          <w:b w:val="0"/>
        </w:rPr>
        <w:t>5 推定した電流を帯電時間に積分して表面電荷を更新し、電場を再計算する。</w:t>
      </w:r>
    </w:p>
    <w:p>
      <w:r>
        <w:rPr>
          <w:b w:val="0"/>
        </w:rPr>
        <w:t>6 電位変化、電流の不均衡、統計誤差、未解決粒子数を評価し、時間刻みとサンプル数を調整する。</w:t>
      </w:r>
    </w:p>
    <w:p>
      <w:r>
        <w:rPr>
          <w:b w:val="0"/>
        </w:rPr>
        <w:t>粒子の運動を積分する時間刻みと、表面電荷を更新する物理時間刻みを分ける。粒子にはセル幅、速度、加速度、壁面までの距離に基づく制御を使う。壁を飛び越えた後の位置から衝突を推定せず、飛行区間と壁面の交差位置を解く。</w:t>
      </w:r>
    </w:p>
    <w:p>
      <w:r>
        <w:rPr>
          <w:b w:val="0"/>
        </w:rPr>
        <w:t>帯電更新は電位変化と時間刻み半減の比較で制御する。定常計算で使う数値的な緩和係数を、物理的な帯電時間へ読み替えない。輸送が時間変化に追従できない場合や長時間閉じ込め粒子が発生した場合、凍結電場モデルの適用を再評価する。最大ステップ到達粒子を吸収したことにせず、未解決として収支と精度に表示する。</w:t>
      </w:r>
    </w:p>
    <w:p>
      <w:pPr>
        <w:pStyle w:val="Heading2"/>
      </w:pPr>
      <w:r>
        <w:t>計算量とメモリを抑える方法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2"/>
        <w:gridCol w:w="7805"/>
      </w:tblGrid>
      <w:tr>
        <w:trPr>
          <w:cantSplit/>
          <w:tblHeader/>
        </w:trPr>
        <w:tc>
          <w:tcPr>
            <w:tcW w:type="dxa" w:w="2362"/>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方法</w:t>
            </w:r>
          </w:p>
        </w:tc>
        <w:tc>
          <w:tcPr>
            <w:tcW w:type="dxa" w:w="7805"/>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設計上の要点</w:t>
            </w:r>
          </w:p>
        </w:tc>
      </w:tr>
      <w:tr>
        <w:trPr>
          <w:cantSplit/>
        </w:trPr>
        <w:tc>
          <w:tcPr>
            <w:tcW w:type="dxa" w:w="236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粒子のバッチ処理</w:t>
            </w:r>
          </w:p>
        </w:tc>
        <w:tc>
          <w:tcPr>
            <w:tcW w:type="dxa" w:w="780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活動粒子数を固定し、累積サンプル数と分離する。全軌道は保存せず、選択した少数のみ表示する。</w:t>
            </w:r>
          </w:p>
        </w:tc>
      </w:tr>
      <w:tr>
        <w:trPr>
          <w:cantSplit/>
        </w:trPr>
        <w:tc>
          <w:tcPr>
            <w:tcW w:type="dxa" w:w="236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電場計算の再利用</w:t>
            </w:r>
          </w:p>
        </w:tc>
        <w:tc>
          <w:tcPr>
            <w:tcW w:type="dxa" w:w="780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固定形状では行列と前処理を再利用。小規模は因子分解、大規模3Dは反復法を候補とする。電位の基底解と帯電場を重ね合わせる。</w:t>
            </w:r>
          </w:p>
        </w:tc>
      </w:tr>
      <w:tr>
        <w:trPr>
          <w:cantSplit/>
        </w:trPr>
        <w:tc>
          <w:tcPr>
            <w:tcW w:type="dxa" w:w="236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GPUで輸送と集計</w:t>
            </w:r>
          </w:p>
        </w:tc>
        <w:tc>
          <w:tcPr>
            <w:tcW w:type="dxa" w:w="780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位置・速度を配列で保持し、壁面衝突まで並列追跡。転送は電場と集計結果を中心にする。</w:t>
            </w:r>
          </w:p>
        </w:tc>
      </w:tr>
      <w:tr>
        <w:trPr>
          <w:cantSplit/>
        </w:trPr>
        <w:tc>
          <w:tcPr>
            <w:tcW w:type="dxa" w:w="236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希少な底部到達への対応</w:t>
            </w:r>
          </w:p>
        </w:tc>
        <w:tc>
          <w:tcPr>
            <w:tcW w:type="dxa" w:w="780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角度やエネルギーの層別化と重み付きサンプリングを使う。重みの偏りと有効サンプル数も報告する。</w:t>
            </w:r>
          </w:p>
        </w:tc>
      </w:tr>
      <w:tr>
        <w:trPr>
          <w:cantSplit/>
        </w:trPr>
        <w:tc>
          <w:tcPr>
            <w:tcW w:type="dxa" w:w="236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壁面の面積補正</w:t>
            </w:r>
          </w:p>
        </w:tc>
        <w:tc>
          <w:tcPr>
            <w:tcW w:type="dxa" w:w="780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3次元の壁面パッチ面積を使う。軸対称参照では円環・環状面積を使い、両モードで保存性を確認する。</w:t>
            </w:r>
          </w:p>
        </w:tc>
      </w:tr>
    </w:tbl>
    <w:p>
      <w:pPr>
        <w:spacing w:after="20"/>
      </w:pPr>
    </w:p>
    <w:p>
      <w:pPr>
        <w:pStyle w:val="Heading1"/>
      </w:pPr>
      <w:r>
        <w:t>5 アプリ構成と画面仕様</w:t>
      </w:r>
    </w:p>
    <w:p>
      <w:r>
        <w:rPr>
          <w:b w:val="0"/>
        </w:rPr>
        <w:t>Windowsのローカルアプリとして起動し、手元のブラウザに操作画面を表示する構成を基本とする。計算はGPUを搭載した同じPCの独立ワーカープロセスで実行し、画面の更新と計算を分離する。初版の画面は日本語と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層</w:t>
            </w:r>
          </w:p>
        </w:tc>
        <w:tc>
          <w:tcPr>
            <w:tcW w:type="dxa" w:w="8294"/>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採用候補と責務</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画面</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ReactとTypeScript。形状プレビュー、条件編集、実行操作、結果比較。</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ローカル制御</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PythonとFastAPI。入力検証、ジョブ管理、進捗通知、保存と再開。</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電場計算</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3次元FEMと軸対称参照。Gmsh等の境界適合メッシュ、疎行列とAMG等の前処理。まずCPUの倍精度で検証。</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CPU参照輸送</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PythonとNumbaのCPU並列化。解析解・固定電場・保存則の比較基準。</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GPU輸送</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CuPyのRawKernelまたはCUDA C++。最初の性能試験後に方式を固定する。</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データ</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入力とメタ情報は版付きJSON、分布はCSV、時系列・場・チェックポイントはHDF5。</w:t>
            </w:r>
          </w:p>
        </w:tc>
      </w:tr>
    </w:tbl>
    <w:p>
      <w:pPr>
        <w:spacing w:after="20"/>
      </w:pPr>
    </w:p>
    <w:p>
      <w:r>
        <w:rPr>
          <w:b w:val="0"/>
        </w:rPr>
        <w:t>メッシュ内部の電場補間とセル探索を輸送側で再現する。電場を別の規則格子へ写す場合は補間誤差を独立に評価し、誘電体界面や導体をまたいで場を混ぜない。初期実装は倍精度で正しさを確認し、粒子計算の単精度化は結果差が許容範囲内と検証できた部分に限る。</w:t>
      </w:r>
    </w:p>
    <w:p>
      <w:pPr>
        <w:pStyle w:val="Heading2"/>
      </w:pPr>
      <w:r>
        <w:t>操作の流れ</w:t>
      </w:r>
    </w:p>
    <w:p>
      <w:r>
        <w:rPr>
          <w:b w:val="0"/>
        </w:rPr>
        <w:t>形状パラメーターと材料を編集し、寸法・接続検査後に3次元プレビューを更新する。IAEDF-Simのジョブ、圧力ケースとウェハ波形を読み込み、表面相互作用と精度目標を設定する。1本のdummyの距離変更を簡単操作として残し、任意の寸法の掃引も実行できるように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画面</w:t>
            </w:r>
          </w:p>
        </w:tc>
        <w:tc>
          <w:tcPr>
            <w:tcW w:type="dxa" w:w="8294"/>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表示と操作</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設定</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全寸法と単位、連動／直接入力、派生量、3次元配置、条件掃引、ウェハ波形と入口分布の評価面。</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実行</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進捗、処理速度、GPUメモリ、電場計算と輸送の所要時間、停止・チェックポイント再開。</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場と軌道</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電位、電場、表面電荷、代表軌道。帯電前後の差分と表示時刻の選択。</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衝突統計</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底部到達率、深さ別・半径別の流束、衝突時のエネルギーと角度、正味電流。</w:t>
            </w:r>
          </w:p>
        </w:tc>
      </w:tr>
      <w:tr>
        <w:trPr>
          <w:cantSplit/>
        </w:trPr>
        <w:tc>
          <w:tcPr>
            <w:tcW w:type="dxa" w:w="187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比較と精度</w:t>
            </w:r>
          </w:p>
        </w:tc>
        <w:tc>
          <w:tcPr>
            <w:tcW w:type="dxa" w:w="829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条件比較、95%信頼区間、種別の有効サンプル数、収束履歴、近似モデルの診断結果。</w:t>
            </w:r>
          </w:p>
        </w:tc>
      </w:tr>
    </w:tbl>
    <w:p>
      <w:pPr>
        <w:spacing w:after="20"/>
      </w:pPr>
    </w:p>
    <w:p>
      <w:r>
        <w:rPr>
          <w:b w:val="0"/>
        </w:rPr>
        <w:t>ケースには入力ファイルのハッシュ、コード版、依存関係、乱数シード、GPU型番、数値設定を保存する。GPUの集計順序による微小差は許容し、CPUとGPUの一致は統計と数値許容差で評価する。停止と再開の前後で電荷収支と累積統計を連続に保つ。</w:t>
      </w:r>
    </w:p>
    <w:p>
      <w:pPr>
        <w:pStyle w:val="Heading1"/>
      </w:pPr>
      <w:r>
        <w:t>6 検証と受け入れ基準</w:t>
      </w:r>
    </w:p>
    <w:p>
      <w:r>
        <w:rPr>
          <w:b w:val="0"/>
        </w:rPr>
        <w:t>以下は開発時の暫定基準であり、実デバイスの予測誤差を保証する値ではない。解析解、COMSOLによる電場・少数粒子の比較、メッシュ・時間刻み・サンプル数の収束、実測との比較を分けて評価する。COMSOLは同じ幾何形状、誘電率、外側境界、電荷、入口分布で比較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8266"/>
      </w:tblGrid>
      <w:tr>
        <w:trPr>
          <w:cantSplit/>
          <w:tblHeader/>
        </w:trPr>
        <w:tc>
          <w:tcPr>
            <w:tcW w:type="dxa" w:w="1901"/>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検証対象</w:t>
            </w:r>
          </w:p>
        </w:tc>
        <w:tc>
          <w:tcPr>
            <w:tcW w:type="dxa" w:w="8266"/>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方法と暫定合格条件</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静電場</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平行平板・誘電体界面・既知電荷を用いる。規格化した電位と電束の誤差1%以内。角の特異点は除外し、領域積分も確認。</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軌道積分</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ゼロ電場と一様電場の解析軌道。壁面到達位置とエネルギーの誤差1%以内。静電場では総エネルギーも確認。</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幾何と面積</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円形開口への一様入射、環状面積への集計、軸通過を確認。メッシュと粒子数変更で流束の規格化が変わらない。</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電荷保存</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入射・逃走・壁面蓄積・放出・漏れ・導体への流入・残存粒子を集計。残差は入射絶対電荷の合計で規格化し10⁻⁶以下を目標。</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数値収束</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メッシュ細分化、運動時間刻み半減、帯電更新刻み半減を別々に行う。主要出力の差2%以内を目標。</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輸送の統計誤差</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複数独立シードまたは独立バッチで95%信頼区間を算出。主要な到達率・平均エネルギーの相対半幅2%以内を目標。</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COMSOLとの比較</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同じ固定電荷での電位と代表軌道を先に比較。統計出力は一致する入口分布で、信頼区間を考慮して差5%以内を目標。</w:t>
            </w:r>
          </w:p>
        </w:tc>
      </w:tr>
      <w:tr>
        <w:trPr>
          <w:cantSplit/>
        </w:trPr>
        <w:tc>
          <w:tcPr>
            <w:tcW w:type="dxa" w:w="190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CPUとGPU</w:t>
            </w:r>
          </w:p>
        </w:tc>
        <w:tc>
          <w:tcPr>
            <w:tcW w:type="dxa" w:w="826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同じ条件で主要出力の差が信頼区間または数値許容差内。再開後も総電荷と統計量が連続する。</w:t>
            </w:r>
          </w:p>
        </w:tc>
      </w:tr>
    </w:tbl>
    <w:p>
      <w:pPr>
        <w:spacing w:after="20"/>
      </w:pPr>
    </w:p>
    <w:p>
      <w:pPr>
        <w:pStyle w:val="Heading2"/>
      </w:pPr>
      <w:r>
        <w:t>ゼロや希少事象の扱い</w:t>
      </w:r>
    </w:p>
    <w:p>
      <w:r>
        <w:rPr>
          <w:b w:val="0"/>
        </w:rPr>
        <w:t>到達率がゼロに近い場合、相対誤差だけで判定しない。絶対半幅と上限値を表示し、未到達を「到達確率ゼロ」と解釈しない。重み付き統計には有効サンプル数を使い、帯電との相関を含む誤差は独立した連成計算でも確認する。底部電位と正味電流が安定していることを併せて定常判定する。</w:t>
      </w:r>
    </w:p>
    <w:p>
      <w:pPr>
        <w:pStyle w:val="Heading2"/>
      </w:pPr>
      <w:r>
        <w:t>モデルの妥当性</w:t>
      </w:r>
    </w:p>
    <w:p>
      <w:r>
        <w:rPr>
          <w:b w:val="0"/>
        </w:rPr>
        <w:t>ガス衝突、空間電荷、入口境界位置、表面反射・二次電子放出・漏れの感度を確認する。数値解の収束と物理モデルの正しさを分ける。実測の帯電量や入射分布が得られれば校正し、得られない係数は範囲を振った結果を示す。文献のトレンチ結果は検証の参考に使い、円形ホールと同じ数値になるとは仮定しない。</w:t>
      </w:r>
    </w:p>
    <w:p>
      <w:pPr>
        <w:pStyle w:val="Heading1"/>
      </w:pPr>
      <w:r>
        <w:t>7 実装工程と完了条件</w:t>
      </w:r>
    </w:p>
    <w:p>
      <w:r>
        <w:rPr>
          <w:b w:val="0"/>
        </w:rPr>
        <w:t>初版Aは、全寸法のパラメーター化、3次元固定形状、指定ウェハ電位、輸送・帯電と条件比較を対象とする。初期プリセットの構造は確定したが、寸法をプログラム内の固定値にしない。形状生成と依存寸法の更新を最初の工程で整備する。入口データと比較条件を固定して工程別に再見積もりし、形状発展Bの反応データ整備・校正は別工程と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7891"/>
      </w:tblGrid>
      <w:tr>
        <w:trPr>
          <w:cantSplit/>
          <w:tblHeader/>
        </w:trPr>
        <w:tc>
          <w:tcPr>
            <w:tcW w:type="dxa" w:w="2275"/>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工程</w:t>
            </w:r>
          </w:p>
        </w:tc>
        <w:tc>
          <w:tcPr>
            <w:tcW w:type="dxa" w:w="7891"/>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成果物と次へ進む条件</w:t>
            </w:r>
          </w:p>
        </w:tc>
      </w:tr>
      <w:tr>
        <w:trPr>
          <w:cantSplit/>
        </w:trPr>
        <w:tc>
          <w:tcPr>
            <w:tcW w:type="dxa" w:w="227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1 パラメーターと入口契約</w:t>
            </w:r>
          </w:p>
        </w:tc>
        <w:tc>
          <w:tcPr>
            <w:tcW w:type="dxa" w:w="789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版付き設定、寸法依存関係、形状生成・検査を整備。IAEDF取込、ウェハ波形・評価面と比較ケースを固定。</w:t>
            </w:r>
          </w:p>
        </w:tc>
      </w:tr>
      <w:tr>
        <w:trPr>
          <w:cantSplit/>
        </w:trPr>
        <w:tc>
          <w:tcPr>
            <w:tcW w:type="dxa" w:w="227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2 参照と3次元電場</w:t>
            </w:r>
          </w:p>
        </w:tc>
        <w:tc>
          <w:tcPr>
            <w:tcW w:type="dxa" w:w="789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軸対称の単一Channel参照、既知電荷、埋め込み等電位金属の検証。金属位置と距離による差を確認。</w:t>
            </w:r>
          </w:p>
        </w:tc>
      </w:tr>
      <w:tr>
        <w:trPr>
          <w:cantSplit/>
        </w:trPr>
        <w:tc>
          <w:tcPr>
            <w:tcW w:type="dxa" w:w="227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3 輸送と表面帯電</w:t>
            </w:r>
          </w:p>
        </w:tc>
        <w:tc>
          <w:tcPr>
            <w:tcW w:type="dxa" w:w="789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3次元速度・位相を保持して追跡。壁面相互作用、電荷保存、メッシュ・時間刻み・統計の収束を確認。</w:t>
            </w:r>
          </w:p>
        </w:tc>
      </w:tr>
      <w:tr>
        <w:trPr>
          <w:cantSplit/>
        </w:trPr>
        <w:tc>
          <w:tcPr>
            <w:tcW w:type="dxa" w:w="227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4 寸法掃引と波形整合</w:t>
            </w:r>
          </w:p>
        </w:tc>
        <w:tc>
          <w:tcPr>
            <w:tcW w:type="dxa" w:w="789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径・膜厚・間隔等を掃引し非対称性を比較。再メッシュと接続検査、上流との波形・位相対応、帯電収束を確認。</w:t>
            </w:r>
          </w:p>
        </w:tc>
      </w:tr>
      <w:tr>
        <w:trPr>
          <w:cantSplit/>
        </w:trPr>
        <w:tc>
          <w:tcPr>
            <w:tcW w:type="dxa" w:w="227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5 GPUと操作画面</w:t>
            </w:r>
          </w:p>
        </w:tc>
        <w:tc>
          <w:tcPr>
            <w:tcW w:type="dxa" w:w="789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RTX 5070 Ti対応、独立したCPU比較、性能実測、配置入力、結果比較、停止と再開。</w:t>
            </w:r>
          </w:p>
        </w:tc>
      </w:tr>
      <w:tr>
        <w:trPr>
          <w:cantSplit/>
        </w:trPr>
        <w:tc>
          <w:tcPr>
            <w:tcW w:type="dxa" w:w="2275"/>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6 検証と提供</w:t>
            </w:r>
          </w:p>
        </w:tc>
        <w:tc>
          <w:tcPr>
            <w:tcW w:type="dxa" w:w="7891"/>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COMSOL比較と代表ケース、入射データの限界、適用範囲、操作説明を揃えて提供。</w:t>
            </w:r>
          </w:p>
        </w:tc>
      </w:tr>
    </w:tbl>
    <w:p>
      <w:pPr>
        <w:spacing w:after="20"/>
      </w:pPr>
    </w:p>
    <w:p>
      <w:pPr>
        <w:pStyle w:val="Heading2"/>
      </w:pPr>
      <w:r>
        <w:t>性能の評価方法</w:t>
      </w:r>
    </w:p>
    <w:p>
      <w:r>
        <w:rPr>
          <w:b w:val="0"/>
        </w:rPr>
        <w:t>比較は同じ形状、物理モデル、精度目標で行う。粒子処理速度だけでなく、必要な統計精度へ到達する総時間、電場再計算の時間、最大メモリ、保存データ量を測る。現段階ではCOMSOL比の倍率や1ケースの所要時間を約束しない。</w:t>
      </w:r>
    </w:p>
    <w:p>
      <w:r>
        <w:rPr>
          <w:b w:val="0"/>
        </w:rPr>
        <w:t>試験サイズは軸対称で自由度1万〜10万、3次元で10万〜100万を初期探索範囲とし、活動粒子バッチ10万・累積100万粒子から開始する。各サイズは仮の検証条件である。底部電子の統計に応じて累積数を増やす。これらは粒子数上限や精度保証ではない。高アスペクト比では希少な到達イベントが総時間を支配し得る。CPU参照に対するGPU輸送の5倍以上を開発目標とし、未達ならボトルネックと実行構成を見直す。</w:t>
      </w:r>
    </w:p>
    <w:p>
      <w:pPr>
        <w:pStyle w:val="Heading2"/>
      </w:pPr>
      <w:r>
        <w:t>後続版への拡張順序</w:t>
      </w:r>
    </w:p>
    <w:p>
      <w:r>
        <w:rPr>
          <w:b w:val="0"/>
        </w:rPr>
        <w:t>RF位相分布、指定ウェハ電位の共通導体、非軸対称dummy配置を初版Aに含める。表面・固体内の電荷輸送と未知ウェハ電位のESC回路連成は後続候補とする。</w:t>
      </w:r>
    </w:p>
    <w:p>
      <w:pPr>
        <w:pStyle w:val="Heading1"/>
      </w:pPr>
      <w:r>
        <w:t>8 着手時のデータと設計上の判断</w:t>
      </w:r>
    </w:p>
    <w:p>
      <w:r>
        <w:rPr>
          <w:b w:val="0"/>
        </w:rPr>
        <w:t>最初の実装ケースには実対象に近い1形状と1入口分布を選び、帯電を無効にした状態から比較を始める。実データがまだない項目は検証用の仮値にできるが、そのケースを工程条件の推奨や実デバイスの予測として使用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646"/>
      </w:tblGrid>
      <w:tr>
        <w:trPr>
          <w:cantSplit/>
          <w:tblHeader/>
        </w:trPr>
        <w:tc>
          <w:tcPr>
            <w:tcW w:type="dxa" w:w="2520"/>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着手時に用意するもの</w:t>
            </w:r>
          </w:p>
        </w:tc>
        <w:tc>
          <w:tcPr>
            <w:tcW w:type="dxa" w:w="7646"/>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詳細</w:t>
            </w:r>
          </w:p>
        </w:tc>
      </w:tr>
      <w:tr>
        <w:trPr>
          <w:cantSplit/>
        </w:trPr>
        <w:tc>
          <w:tcPr>
            <w:tcW w:type="dxa" w:w="252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ホールの寸法と断面</w:t>
            </w:r>
          </w:p>
        </w:tc>
        <w:tc>
          <w:tcPr>
            <w:tcW w:type="dxa" w:w="764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入口径、深さ、テーパー、マスク厚、底面。断面図または深さと半径の表。</w:t>
            </w:r>
          </w:p>
        </w:tc>
      </w:tr>
      <w:tr>
        <w:trPr>
          <w:cantSplit/>
        </w:trPr>
        <w:tc>
          <w:tcPr>
            <w:tcW w:type="dxa" w:w="252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積層と電気条件</w:t>
            </w:r>
          </w:p>
        </w:tc>
        <w:tc>
          <w:tcPr>
            <w:tcW w:type="dxa" w:w="764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各層の材料・比誘電率、導体の接地／バイアス、初期電荷。浮遊導体がある場合はその接続関係。</w:t>
            </w:r>
          </w:p>
        </w:tc>
      </w:tr>
      <w:tr>
        <w:trPr>
          <w:cantSplit/>
        </w:trPr>
        <w:tc>
          <w:tcPr>
            <w:tcW w:type="dxa" w:w="252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入口の分布</w:t>
            </w:r>
          </w:p>
        </w:tc>
        <w:tc>
          <w:tcPr>
            <w:tcW w:type="dxa" w:w="764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イオン種と絶対流束、イオン・電子のエネルギーと角度。注入面と電位基準を含むCSVまたはサンプル。</w:t>
            </w:r>
          </w:p>
        </w:tc>
      </w:tr>
      <w:tr>
        <w:trPr>
          <w:cantSplit/>
        </w:trPr>
        <w:tc>
          <w:tcPr>
            <w:tcW w:type="dxa" w:w="252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表面の係数</w:t>
            </w:r>
          </w:p>
        </w:tc>
        <w:tc>
          <w:tcPr>
            <w:tcW w:type="dxa" w:w="764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反射、中性化、電子吸収、二次電子放出、漏れのデータと出典。欠ける項目は感度評価範囲を決める。</w:t>
            </w:r>
          </w:p>
        </w:tc>
      </w:tr>
      <w:tr>
        <w:trPr>
          <w:cantSplit/>
        </w:trPr>
        <w:tc>
          <w:tcPr>
            <w:tcW w:type="dxa" w:w="252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計算PCと比較ケース</w:t>
            </w:r>
          </w:p>
        </w:tc>
        <w:tc>
          <w:tcPr>
            <w:tcW w:type="dxa" w:w="764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GPU型番、VRAM、RAM、Windows版。COMSOLの形状・境界・メッシュ・電荷条件と出力。</w:t>
            </w:r>
          </w:p>
        </w:tc>
      </w:tr>
    </w:tbl>
    <w:p>
      <w:pPr>
        <w:spacing w:after="20"/>
      </w:pPr>
    </w:p>
    <w:p>
      <w:pPr>
        <w:pStyle w:val="Heading2"/>
      </w:pPr>
      <w:r>
        <w:t>重要な判断</w:t>
      </w:r>
    </w:p>
    <w:p>
      <w:r>
        <w:rPr>
          <w:b w:val="0"/>
        </w:rPr>
        <w:t>代表粒子は平均的な輸送と帯電を効率よく推定する方法であり、実粒子の数をそのまま再現するものではない。非常に小さいホールで粒子到達が離散的になる場合、平均場モデルと実際の単一ホールのショットノイズを区別する。軸対称参照では衝突を円環へ平均化する。3次元の平均場計算でも、物理的なショットノイズや形状変化を追加しない限り、ねじれの発生頻度を予測したとは扱わない。</w:t>
      </w:r>
    </w:p>
    <w:p>
      <w:r>
        <w:rPr>
          <w:b w:val="0"/>
        </w:rPr>
        <w:t>固定形状の初版Aは、帯電と配置変更による粒子到達・衝突の非対称性を評価する。実際の形状異常を再現する段階Bでは、表面反応、熱い中性粒子、ラジカル、パッシベーション、材料除去・再堆積を必要に応じて追加し、実測断面で校正する。IAEDFのみから形状異常やその発生頻度を決めない。</w:t>
      </w:r>
    </w:p>
    <w:p>
      <w:pPr>
        <w:pStyle w:val="Heading2"/>
      </w:pPr>
      <w:r>
        <w:t>根拠となる一次資料</w:t>
      </w:r>
    </w:p>
    <w:p>
      <w:r>
        <w:rPr>
          <w:b w:val="0"/>
        </w:rPr>
        <w:t>以下の研究は輸送・帯電の連成方式を選ぶ根拠である。アプリ構成、精度目標、開発週数は本計画の設計提案であり、文献が保証する値ではない。</w:t>
      </w:r>
    </w:p>
    <w:p>
      <w:pPr>
        <w:spacing w:after="40"/>
      </w:pPr>
      <w:r>
        <w:rPr>
          <w:b w:val="0"/>
        </w:rPr>
        <w:t>[1] Hwang and Giapis 1997  Aspect-ratio-dependent charging in high-density plasmas. モンテカルロ輸送による電子遮蔽と軌道変化。</w:t>
      </w:r>
    </w:p>
    <w:p>
      <w:pPr>
        <w:spacing w:after="100"/>
      </w:pPr>
      <w:r>
        <w:rPr>
          <w:b w:val="0"/>
          <w:sz w:val="18"/>
        </w:rPr>
        <w:t>https://authors.library.caltech.edu/records/je8bd-j6v68</w:t>
      </w:r>
    </w:p>
    <w:p>
      <w:pPr>
        <w:spacing w:after="40"/>
      </w:pPr>
      <w:r>
        <w:rPr>
          <w:b w:val="0"/>
        </w:rPr>
        <w:t>[2] Matsui et al. 2001  The effect of topographical local charging on the etching of deep-submicron structures in SiO2 as a function of aspect ratio. 輸送、表面電荷の連続式、Poisson方程式の連成。</w:t>
      </w:r>
    </w:p>
    <w:p>
      <w:pPr>
        <w:spacing w:after="100"/>
      </w:pPr>
      <w:r>
        <w:rPr>
          <w:b w:val="0"/>
          <w:sz w:val="18"/>
        </w:rPr>
        <w:t>https://doi.org/10.1063/1.1347021</w:t>
      </w:r>
    </w:p>
    <w:p>
      <w:pPr>
        <w:spacing w:after="40"/>
      </w:pPr>
      <w:r>
        <w:rPr>
          <w:b w:val="0"/>
        </w:rPr>
        <w:t>[3] Huang et al. 2019  Plasma etching of high aspect ratio features in SiO2 using Ar/C4F8/O2 mixtures. 特徴寸法での帯電、壁面中性化と輸送。</w:t>
      </w:r>
    </w:p>
    <w:p>
      <w:pPr>
        <w:spacing w:after="100"/>
      </w:pPr>
      <w:r>
        <w:rPr>
          <w:b w:val="0"/>
          <w:sz w:val="18"/>
        </w:rPr>
        <w:t>https://cpseg.eecs.umich.edu/pub/articles/JVSTA_37_031304_2019.pdf</w:t>
      </w:r>
    </w:p>
    <w:p>
      <w:pPr>
        <w:spacing w:after="40"/>
      </w:pPr>
      <w:r>
        <w:rPr>
          <w:b w:val="0"/>
        </w:rPr>
        <w:t>[4] Krüger et al. 2024  Voltage waveform tailoring for high aspect ratio plasma etching of SiO2 using Ar/CF4/O2 mixtures. 波形と入射分布、3次元形状モデルの関係。</w:t>
      </w:r>
    </w:p>
    <w:p>
      <w:pPr>
        <w:spacing w:after="100"/>
      </w:pPr>
      <w:r>
        <w:rPr>
          <w:b w:val="0"/>
          <w:sz w:val="18"/>
        </w:rPr>
        <w:t>https://cpseg.eecs.umich.edu/pub/articles/PhysPlasmas_31_033508_2024.pdf</w:t>
      </w:r>
    </w:p>
    <w:p>
      <w:pPr>
        <w:spacing w:after="40"/>
      </w:pPr>
      <w:r>
        <w:rPr>
          <w:b w:val="0"/>
        </w:rPr>
        <w:t>[5] CuPy公式ドキュメント  User-Defined Kernels. GPUカーネル実装の候補。</w:t>
      </w:r>
    </w:p>
    <w:p>
      <w:pPr>
        <w:spacing w:after="100"/>
      </w:pPr>
      <w:r>
        <w:rPr>
          <w:b w:val="0"/>
          <w:sz w:val="18"/>
        </w:rPr>
        <w:t>https://docs.cupy.dev/en/stable/user_guide/kernel.html</w:t>
      </w:r>
    </w:p>
    <w:p>
      <w:pPr>
        <w:pStyle w:val="Heading1"/>
      </w:pPr>
      <w:r>
        <w:t>9 具体条件とIAEDF接続の設計</w:t>
      </w:r>
    </w:p>
    <w:p>
      <w:r>
        <w:rPr>
          <w:b w:val="0"/>
        </w:rPr>
        <w:t>Carbon上面を深さz＝0とする。Carbon厚tC、SiO₂厚tOxを入力し、Carbon下面z＝tCと基板上面z＝tC＋tOxを生成する。初期プリセットはtC＝300 nm、tOx＝2100 nm、Channel径400 nm・基板までの深さ2400 nm。dummyはSiO₂内の金属充填部で、初期径120 nm・6本。長さは接続先の界面から求め、上方のCarbonにはdummy開口を設けない。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22"/>
      </w:tblGrid>
      <w:tr>
        <w:trPr>
          <w:cantSplit/>
          <w:tblHeader/>
        </w:trPr>
        <w:tc>
          <w:tcPr>
            <w:tcW w:type="dxa" w:w="1944"/>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初期プリセット</w:t>
            </w:r>
          </w:p>
        </w:tc>
        <w:tc>
          <w:tcPr>
            <w:tcW w:type="dxa" w:w="8222"/>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モデルへの反映</w:t>
            </w:r>
          </w:p>
        </w:tc>
      </w:tr>
      <w:tr>
        <w:trPr>
          <w:cantSplit/>
        </w:trPr>
        <w:tc>
          <w:tcPr>
            <w:tcW w:type="dxa" w:w="194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主ホール</w:t>
            </w:r>
          </w:p>
        </w:tc>
        <w:tc>
          <w:tcPr>
            <w:tcW w:type="dxa" w:w="822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径400 nm、深さ2400 nm。基板までの深さは膜厚の和から生成。径・深さ・テーパーは編集可能。</w:t>
            </w:r>
          </w:p>
        </w:tc>
      </w:tr>
      <w:tr>
        <w:trPr>
          <w:cantSplit/>
        </w:trPr>
        <w:tc>
          <w:tcPr>
            <w:tcW w:type="dxa" w:w="194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積層</w:t>
            </w:r>
          </w:p>
        </w:tc>
        <w:tc>
          <w:tcPr>
            <w:tcW w:type="dxa" w:w="822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基板 → SiO₂ 2100 nm → Carbon 300 nm。各膜厚を編集し、界面と基板上面を再生成。</w:t>
            </w:r>
          </w:p>
        </w:tc>
      </w:tr>
      <w:tr>
        <w:trPr>
          <w:cantSplit/>
        </w:trPr>
        <w:tc>
          <w:tcPr>
            <w:tcW w:type="dxa" w:w="194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導通</w:t>
            </w:r>
          </w:p>
        </w:tc>
        <w:tc>
          <w:tcPr>
            <w:tcW w:type="dxa" w:w="822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金属径120 nm・長さ2100 nmを初期値とする。金属長さはCarbon下面と基板の位置に連動し、径と配置は編集可能。</w:t>
            </w:r>
          </w:p>
        </w:tc>
      </w:tr>
      <w:tr>
        <w:trPr>
          <w:cantSplit/>
        </w:trPr>
        <w:tc>
          <w:tcPr>
            <w:tcW w:type="dxa" w:w="194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ESC</w:t>
            </w:r>
          </w:p>
        </w:tc>
        <w:tc>
          <w:tcPr>
            <w:tcW w:type="dxa" w:w="822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アルミナを介したRF容量結合。4900 pF＝4.9 nFはウェハ全体の等価容量。初版Aは指定ウェハ電位を使用。</w:t>
            </w:r>
          </w:p>
        </w:tc>
      </w:tr>
      <w:tr>
        <w:trPr>
          <w:cantSplit/>
        </w:trPr>
        <w:tc>
          <w:tcPr>
            <w:tcW w:type="dxa" w:w="194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周囲配置</w:t>
            </w:r>
          </w:p>
        </w:tc>
        <w:tc>
          <w:tcPr>
            <w:tcW w:type="dxa" w:w="822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初期値は6本、60°等間隔、SiO₂間隔50 nm、中心距離310 nm。個数・方位・間隔・各中心座標を編集可能。</w:t>
            </w:r>
          </w:p>
        </w:tc>
      </w:tr>
      <w:tr>
        <w:trPr>
          <w:cantSplit/>
        </w:trPr>
        <w:tc>
          <w:tcPr>
            <w:tcW w:type="dxa" w:w="194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GPU</w:t>
            </w:r>
          </w:p>
        </w:tc>
        <w:tc>
          <w:tcPr>
            <w:tcW w:type="dxa" w:w="8222"/>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RTX 5070 Ti。公式仕様は16 GB GDDR7、CUDA compute capability 12.0。実際の空きメモリを起動時に確認。</w:t>
            </w:r>
          </w:p>
        </w:tc>
      </w:tr>
    </w:tbl>
    <w:p>
      <w:pPr>
        <w:spacing w:after="20"/>
      </w:pPr>
    </w:p>
    <w:p>
      <w:pPr>
        <w:pStyle w:val="Heading2"/>
      </w:pPr>
      <w:r>
        <w:t>指定ウェハ電位と全体容量</w:t>
      </w:r>
    </w:p>
    <w:p>
      <w:r>
        <w:rPr>
          <w:b w:val="0"/>
        </w:rPr>
        <w:t>Carbon、接続するN本の金属部、基板を一つの導体IDへ割り当て、IAEDF-Simと同じウェハ電位Vwafer(t)を与える。金属とSiO₂の界面へ等電位条件を与え、金属内部は電場の未知量として解かない。導体の誘導電荷と露出面への粒子電流は別集計とする。SiO₂の帯電源は気相へ露出した面への正味電流であり、埋め込み金属界面へ粒子を到達させない。</w:t>
      </w:r>
    </w:p>
    <w:p>
      <w:r>
        <w:rPr>
          <w:b w:val="0"/>
        </w:rPr>
        <w:t>ウェハ全体の等価容量は4900 pF（4.9 nF）と確定した。初版Aでは記録用の全体条件として保持する。RF電極電位が別途得られる場合の容量電流診断と、将来の未知電位回路モードで使う。局所ホールの粒子電流だけを使って、この全体容量からウェハ電位を求めない。</w:t>
      </w:r>
    </w:p>
    <w:p>
      <w:r>
        <w:rPr>
          <w:b w:val="0"/>
        </w:rPr>
        <w:t>後続の回路モードでは、全ウェハの電流、パターン面積率、容量の面積基準を揃える。集中容量とFEMのアルミナ領域を重複計上しない。導通経路の抵抗とRF時間スケールから、Carbonと基板の等電位近似も確認する。</w:t>
      </w:r>
    </w:p>
    <w:p>
      <w:r>
        <w:rPr>
          <w:b w:val="0"/>
        </w:rPr>
        <w:t>後続の回路モードでは、シースの変位電荷を上流と整合させ、局所FEMは同じ面積基準の電荷・電流補正を返す。初版Aの指定ウェハ電位モードには、この未知電位回路を接続しない。</w:t>
      </w:r>
    </w:p>
    <w:p>
      <w:pPr>
        <w:pStyle w:val="Heading2"/>
      </w:pPr>
      <w:r>
        <w:t>初版の指定波形と後続の回路モード</w:t>
      </w:r>
    </w:p>
    <w:p>
      <w:r>
        <w:rPr>
          <w:b w:val="0"/>
        </w:rPr>
        <w:t>初版AではIAEDF-Simに入力したウェハ波形をそのままCarbonと基板へ指定する。後続のRF電極入力モードではESC容量と全体プラズマ電流からウェハ波形を解く。その際は上流のシース計算と入口分布も更新する。</w:t>
      </w:r>
    </w:p>
    <w:p>
      <w:r>
        <w:rPr>
          <w:b w:val="0"/>
        </w:rPr>
        <w:t>確認したIAEDF-Simでは、1DのV_e、2DのV_wはプラズマに面する電極・ウェハ側の指定波形である。アルミナを介した未知ウェハ電位を解く回路は現在の確認範囲には含まれていない。こちらでウェハ電位を変更した場合、その電位に対応するシース計算と入口分布を上流でも更新する。古いIAEDFを固定したまま新しいRF駆動条件の予測として扱わない。</w:t>
      </w:r>
    </w:p>
    <w:p>
      <w:pPr>
        <w:pStyle w:val="Heading2"/>
      </w:pPr>
      <w:r>
        <w:t>IAEDF-Simの確認結果</w:t>
      </w:r>
    </w:p>
    <w:p>
      <w:r>
        <w:rPr>
          <w:b w:val="0"/>
        </w:rPr>
        <w:t>確認コミットは caacda8688f8282011852493c42d3a591d21ba7c。元のリポジトリは読み取りのみで確認した。この仕様改訂では上流コードの変更やアプリ実装は行っていない。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150"/>
      </w:tblGrid>
      <w:tr>
        <w:trPr>
          <w:cantSplit/>
          <w:tblHeader/>
        </w:trPr>
        <w:tc>
          <w:tcPr>
            <w:tcW w:type="dxa" w:w="2016"/>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既存出力</w:t>
            </w:r>
          </w:p>
        </w:tc>
        <w:tc>
          <w:tcPr>
            <w:tcW w:type="dxa" w:w="8150"/>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取込時の判断</w:t>
            </w:r>
          </w:p>
        </w:tc>
      </w:tr>
      <w:tr>
        <w:trPr>
          <w:cantSplit/>
        </w:trPr>
        <w:tc>
          <w:tcPr>
            <w:tcW w:type="dxa" w:w="201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raw.npz と config.json</w:t>
            </w:r>
          </w:p>
        </w:tc>
        <w:tc>
          <w:tcPr>
            <w:tcW w:type="dxa" w:w="815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推奨の基本入力。圧力ケースp0、p1等を選択し、質量・電子温度・密度・周波数を設定と対応付ける。</w:t>
            </w:r>
          </w:p>
        </w:tc>
      </w:tr>
      <w:tr>
        <w:trPr>
          <w:cantSplit/>
        </w:trPr>
        <w:tc>
          <w:tcPr>
            <w:tcW w:type="dxa" w:w="201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1D粒子</w:t>
            </w:r>
          </w:p>
        </w:tc>
        <w:tc>
          <w:tcPr>
            <w:tcW w:type="dxa" w:w="815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pN_energy_eV、pN_signed_angle_deg、pN_reached、pN_impact_phase_deg等。到達粒子を選び、エネルギーと位相の相関を維持。</w:t>
            </w:r>
          </w:p>
        </w:tc>
      </w:tr>
      <w:tr>
        <w:trPr>
          <w:cantSplit/>
        </w:trPr>
        <w:tc>
          <w:tcPr>
            <w:tcW w:type="dxa" w:w="201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2D粒子</w:t>
            </w:r>
          </w:p>
        </w:tc>
        <w:tc>
          <w:tcPr>
            <w:tcW w:type="dxa" w:w="815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pN_energy_eV、pN_angle_deg、pN_impact_x_m、pN_on_wafer等。主ホールのマクロ位置に対応するコレクタを選ぶ。到達RF位相は既存NPZに未保存。</w:t>
            </w:r>
          </w:p>
        </w:tc>
      </w:tr>
      <w:tr>
        <w:trPr>
          <w:cantSplit/>
        </w:trPr>
        <w:tc>
          <w:tcPr>
            <w:tcW w:type="dxa" w:w="201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plots.json</w:t>
            </w:r>
          </w:p>
        </w:tc>
        <w:tc>
          <w:tcPr>
            <w:tcW w:type="dxa" w:w="815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iaedfのdensityは［エネルギー、角度］順。ビン確率は密度×ビン幅で求める。絶対流束ではない。</w:t>
            </w:r>
          </w:p>
        </w:tc>
      </w:tr>
      <w:tr>
        <w:trPr>
          <w:cantSplit/>
        </w:trPr>
        <w:tc>
          <w:tcPr>
            <w:tcW w:type="dxa" w:w="201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表示用の上限</w:t>
            </w:r>
          </w:p>
        </w:tc>
        <w:tc>
          <w:tcPr>
            <w:tcW w:type="dxa" w:w="815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既定のエネルギー表示範囲は高エネルギーの裾を落とす場合がある。物理入力には原則として全粒子NPZを使う。</w:t>
            </w:r>
          </w:p>
        </w:tc>
      </w:tr>
      <w:tr>
        <w:trPr>
          <w:cantSplit/>
        </w:trPr>
        <w:tc>
          <w:tcPr>
            <w:tcW w:type="dxa" w:w="2016"/>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符号付き角度</w:t>
            </w:r>
          </w:p>
        </w:tc>
        <w:tc>
          <w:tcPr>
            <w:tcW w:type="dxa" w:w="8150"/>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1Dはatan2(vy, |vx|)、2Dはatan2(vt, |vn|)。どちらも面外速度を含む3次元極角ではない。</w:t>
            </w:r>
          </w:p>
        </w:tc>
      </w:tr>
    </w:tbl>
    <w:p>
      <w:pPr>
        <w:spacing w:after="20"/>
      </w:pPr>
    </w:p>
    <w:p>
      <w:pPr>
        <w:pStyle w:val="Heading2"/>
      </w:pPr>
      <w:r>
        <w:t>推奨する上流の最小出力拡張</w:t>
      </w:r>
    </w:p>
    <w:p>
      <w:r>
        <w:rPr>
          <w:b w:val="0"/>
        </w:rPr>
        <w:t>到達時の法線速度と接線速度2成分、到達RF位相、評価面の位置と局所座標基底、粒子重み、注入数と選択面の到達数、絶対入射流束を追加する。1Dは法線vx・接線vyとvzを対応付け、2Dは局所法線・接線と面外vzを対応付ける。3成分から円形ホールへの入射速度を構成し、既存の投影角を極角として置き換えない。</w:t>
      </w:r>
    </w:p>
    <w:p>
      <w:r>
        <w:rPr>
          <w:b w:val="0"/>
        </w:rPr>
        <w:t>帯電による入口外側のフリンジ電場を扱う場合、評価面はCarbon上面より上の指定面に置く。現状の平坦なウェハ面到達データを入口外側へ移すときは、電位差による仕事と時刻を補正する必要がある。推奨は上流に仮想コレクタ面を追加して速度と位相を出力する方式とし、既存IAEDFは評価面を固定した検証用入力として使う。</w:t>
      </w:r>
    </w:p>
    <w:p>
      <w:r>
        <w:rPr>
          <w:b w:val="0"/>
        </w:rPr>
        <w:t>絶対イオン流束は、元モデルのシース端密度とBohm速度、および輸送・コレクタ選択の重みから求める。正規化IAEDFだけから流束を決めない。2Dのprofiles.fluxも到達粒子で規格化した空間プロファイルなので、そのまま粒子毎平方メートル毎秒に読み替えない。</w:t>
      </w:r>
    </w:p>
    <w:p>
      <w:pPr>
        <w:pStyle w:val="Heading2"/>
      </w:pPr>
      <w:r>
        <w:t>電子の入口モデル</w:t>
      </w:r>
    </w:p>
    <w:p>
      <w:r>
        <w:rPr>
          <w:b w:val="0"/>
        </w:rPr>
        <w:t>既存のIAEDF-SimはイオンのTPMCを出力し、電子の3次元粒子分布は出力しない。初版では、configの電子温度・シース端密度と同じケースのシース電位波形に整合する、位相依存の電子流束と流束重み付き熱分布を近似モデルとして生成する。電子とイオンを各局所面で強制的に等流束へ合わせない。実測または外部計算の電子分布があれば置き換えられる契約とする。</w:t>
      </w:r>
    </w:p>
    <w:p>
      <w:r>
        <w:rPr>
          <w:b w:val="0"/>
        </w:rPr>
        <w:t>上流と下流の間で共通のRF位相原点と評価面電位を保存する。イオンには既に含まれたシース加速を再加算しない。位相ごとの凍結輸送が成立するか飛行時間を確認し、成立しない場合は粒子をRF位相間で保持して時間依存に追跡する。二次電子放出は下流の帯電モデルに含め、その上流への影響は回路の整合確認と分けて評価する。</w:t>
      </w:r>
    </w:p>
    <w:p>
      <w:pPr>
        <w:pStyle w:val="Heading2"/>
      </w:pPr>
      <w:r>
        <w:t>追加する工程と検証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7834"/>
      </w:tblGrid>
      <w:tr>
        <w:trPr>
          <w:cantSplit/>
          <w:tblHeader/>
        </w:trPr>
        <w:tc>
          <w:tcPr>
            <w:tcW w:type="dxa" w:w="2333"/>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追加工程</w:t>
            </w:r>
          </w:p>
        </w:tc>
        <w:tc>
          <w:tcPr>
            <w:tcW w:type="dxa" w:w="7834"/>
            <w:vAlign w:val="center"/>
            <w:tcMar>
              <w:top w:w="75" w:type="dxa"/>
              <w:bottom w:w="75" w:type="dxa"/>
              <w:left w:w="95" w:type="dxa"/>
              <w:right w:w="95" w:type="dxa"/>
            </w:tcMar>
            <w:shd w:fill="DCE6F1"/>
          </w:tcPr>
          <w:p>
            <w:pPr>
              <w:spacing w:after="20" w:line="310" w:lineRule="exact"/>
            </w:pPr>
            <w:r>
              <w:rPr>
                <w:rFonts w:ascii="Noto Sans CJK JP" w:hAnsi="Noto Sans CJK JP" w:eastAsia="Noto Sans CJK JP"/>
                <w:b/>
                <w:color w:val="000000"/>
                <w:sz w:val="20"/>
              </w:rPr>
              <w:t>成果物と検証</w:t>
            </w:r>
          </w:p>
        </w:tc>
      </w:tr>
      <w:tr>
        <w:trPr>
          <w:cantSplit/>
        </w:trPr>
        <w:tc>
          <w:tcPr>
            <w:tcW w:type="dxa" w:w="2333"/>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入口アダプタ</w:t>
            </w:r>
          </w:p>
        </w:tc>
        <w:tc>
          <w:tcPr>
            <w:tcW w:type="dxa" w:w="783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NPZ＋設定の読込、ケース・コレクタ選択、データ契約。エネルギー・投影角・位相の再集計が元データと一致。</w:t>
            </w:r>
          </w:p>
        </w:tc>
      </w:tr>
      <w:tr>
        <w:trPr>
          <w:cantSplit/>
        </w:trPr>
        <w:tc>
          <w:tcPr>
            <w:tcW w:type="dxa" w:w="2333"/>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上流の出力拡張</w:t>
            </w:r>
          </w:p>
        </w:tc>
        <w:tc>
          <w:tcPr>
            <w:tcW w:type="dxa" w:w="783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速度3成分、位相、評価面、流束重み。全速度から算出するエネルギーと元のenergy_eVが一致。</w:t>
            </w:r>
          </w:p>
        </w:tc>
      </w:tr>
      <w:tr>
        <w:trPr>
          <w:cantSplit/>
        </w:trPr>
        <w:tc>
          <w:tcPr>
            <w:tcW w:type="dxa" w:w="2333"/>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3Dとdummy配置</w:t>
            </w:r>
          </w:p>
        </w:tc>
        <w:tc>
          <w:tcPr>
            <w:tcW w:type="dxa" w:w="783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径・膜厚・個数・間隔変更から形状を再生成。界面・導通と粒子領域を検査。旧メッシュの誤使用を防ぎ、場の収束を確認。</w:t>
            </w:r>
          </w:p>
        </w:tc>
      </w:tr>
      <w:tr>
        <w:trPr>
          <w:cantSplit/>
        </w:trPr>
        <w:tc>
          <w:tcPr>
            <w:tcW w:type="dxa" w:w="2333"/>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指定電位と導体電流</w:t>
            </w:r>
          </w:p>
        </w:tc>
        <w:tc>
          <w:tcPr>
            <w:tcW w:type="dxa" w:w="783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Carbonと基板の指定電位一致、SiO₂帯電と導体誘導電荷の分離、外部電源との電荷授受を含む収支を確認。</w:t>
            </w:r>
          </w:p>
        </w:tc>
      </w:tr>
      <w:tr>
        <w:trPr>
          <w:cantSplit/>
        </w:trPr>
        <w:tc>
          <w:tcPr>
            <w:tcW w:type="dxa" w:w="2333"/>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上流・下流の整合</w:t>
            </w:r>
          </w:p>
        </w:tc>
        <w:tc>
          <w:tcPr>
            <w:tcW w:type="dxa" w:w="783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同じウェハ波形・位相原点・評価面で入口分布を使用。シース加速の二重適用を防ぎ、RF周期と帯電の収束を確認。</w:t>
            </w:r>
          </w:p>
        </w:tc>
      </w:tr>
      <w:tr>
        <w:trPr>
          <w:cantSplit/>
        </w:trPr>
        <w:tc>
          <w:tcPr>
            <w:tcW w:type="dxa" w:w="2333"/>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RTX 5070 Ti</w:t>
            </w:r>
          </w:p>
        </w:tc>
        <w:tc>
          <w:tcPr>
            <w:tcW w:type="dxa" w:w="7834"/>
            <w:vAlign w:val="center"/>
            <w:tcMar>
              <w:top w:w="75" w:type="dxa"/>
              <w:bottom w:w="75" w:type="dxa"/>
              <w:left w:w="95" w:type="dxa"/>
              <w:right w:w="95" w:type="dxa"/>
            </w:tcMar>
          </w:tcPr>
          <w:p>
            <w:pPr>
              <w:spacing w:after="20" w:line="310" w:lineRule="exact"/>
            </w:pPr>
            <w:r>
              <w:rPr>
                <w:rFonts w:ascii="Noto Sans CJK JP" w:hAnsi="Noto Sans CJK JP" w:eastAsia="Noto Sans CJK JP"/>
                <w:b w:val="0"/>
                <w:color w:val="000000"/>
                <w:sz w:val="20"/>
              </w:rPr>
              <w:t>CC 12.0対応のCUDA・ドライバ・CuPy構成を実機で固定。初期バッチ10万から調整し、GPU使用量8 GB以下を暫定設計目標とする。</w:t>
            </w:r>
          </w:p>
        </w:tc>
      </w:tr>
    </w:tbl>
    <w:p>
      <w:pPr>
        <w:spacing w:after="20"/>
      </w:pPr>
    </w:p>
    <w:p>
      <w:r>
        <w:rPr>
          <w:b w:val="0"/>
        </w:rPr>
        <w:t>3次元主計算ではAMG等の前処理を再利用する反復法を優先検討し、巨大な直接因子分解に依存しない。導体電位に対する線形な基底解と表面電荷の場を分離し、形状・材料が固定ならRF位相ごとの電場は重ね合わせで更新する。粒子輸送と壁面集計をGPUへ置き、場と回路は倍精度で基準解を作る。</w:t>
      </w:r>
    </w:p>
    <w:p>
      <w:pPr>
        <w:pStyle w:val="Heading2"/>
      </w:pPr>
      <w:r>
        <w:t>残る入力</w:t>
      </w:r>
    </w:p>
    <w:p>
      <w:r>
        <w:rPr>
          <w:b w:val="0"/>
        </w:rPr>
        <w:t>構造の基準は、金属充填dummyがCarbon下面と基板をつなぐことである。寸法は全て編集可能なプリセットとして保持する。金属種は材料情報として保存し、初版Aは接触抵抗を無視する理想導体を基準とする。残る入力は基板材料、IAEDF-Simジョブ・圧力ケース、ウェハ波形と絶対流束。形状発展Bにはガス組成、加工時間、材料別反応係数と実測断面を用いる。</w:t>
      </w:r>
    </w:p>
    <w:p>
      <w:pPr>
        <w:pStyle w:val="Heading2"/>
      </w:pPr>
      <w:r>
        <w:t>追加の一次資料</w:t>
      </w:r>
    </w:p>
    <w:p>
      <w:r>
        <w:rPr>
          <w:b w:val="0"/>
        </w:rPr>
        <w:t>IAEDF-Sim  コード確認対象</w:t>
      </w:r>
    </w:p>
    <w:p>
      <w:r>
        <w:rPr>
          <w:b w:val="0"/>
        </w:rPr>
        <w:t>https://github.com/Reasonia-TK/IAEDF-Sim/tree/caacda8688f8282011852493c42d3a591d21ba7c</w:t>
      </w:r>
    </w:p>
    <w:p>
      <w:r>
        <w:rPr>
          <w:b w:val="0"/>
        </w:rPr>
        <w:t>NVIDIA RTX 5070 Ti  公式メモリ仕様</w:t>
      </w:r>
    </w:p>
    <w:p>
      <w:r>
        <w:rPr>
          <w:b w:val="0"/>
        </w:rPr>
        <w:t>https://www.nvidia.com/en-us/geforce/graphics-cards/50-series/rtx-5070-family/</w:t>
      </w:r>
    </w:p>
    <w:p>
      <w:r>
        <w:rPr>
          <w:b w:val="0"/>
        </w:rPr>
        <w:t>NVIDIA CUDA GPU一覧  compute capability 12.0</w:t>
      </w:r>
    </w:p>
    <w:p>
      <w:r>
        <w:rPr>
          <w:b w:val="0"/>
        </w:rPr>
        <w:t>https://developer.nvidia.com/cuda/gpus</w:t>
      </w:r>
    </w:p>
    <w:p>
      <w:pPr>
        <w:pStyle w:val="Heading1"/>
      </w:pPr>
      <w:r>
        <w:t>10 1個のdummyの距離変更と形状異常の評価</w:t>
      </w:r>
    </w:p>
    <w:p>
      <w:pPr>
        <w:pStyle w:val="Heading2"/>
      </w:pPr>
      <w:r>
        <w:t>幾何と操作</w:t>
      </w:r>
    </w:p>
    <w:p>
      <w:r>
        <w:t>主Channel中心を原点とする。等間隔配置ではdummy番号k＝0〜N−1、方位θk＝θ0＋k×360°／N。円筒の場合、Channel径Dch、各金属径DkとSiO₂間隔gkから中心距離rk＝Dch／2＋Dk／2＋gkを求める。基準はN＝6、Dch＝400 nm、Dk＝120 nm、gk＝50 nmであり、rk＝310 nmとなる。各値は編集可能。金属部の上下端は膜厚に連動させる。</w:t>
      </w:r>
    </w:p>
    <w:p>
      <w:r>
        <w:t>初期プリセットでθ0＝0°の座標［nm］は、(310, 0)、(155, 268.468)、(−155, 268.468)、(−310, 0)、(−155, −268.468)、(155, −268.468)。隣接金属の間隔190 nmと外接直径740 nmはこのプリセットの派生量であり、寸法・配置変更後に再計算する。外側境界も配置に合わせて更新し、感度を確認する。</w:t>
      </w:r>
    </w:p>
    <w:p>
      <w:r>
        <w:t>Carbonを透過表示してdummyを選び、間隔gを入力する簡単操作を用意する。変位は保存した基準ケースの間隔grefとの差g−grefで表示する。全体共通値と個別上書き、座標直接入力、距離掃引、基準への復帰を扱う。Channel径や膜厚などは別の寸法欄で編集でき、変更した入力から全形状を生成する。</w:t>
      </w:r>
    </w:p>
    <w:p>
      <w:r>
        <w:t>金属部の重なり、Channelとの接触、隣接金属部との干渉、薄いSiO₂領域の解像度を検査する。初期固定形状ではg＝0の接触や負の値を非接触形状として受け付けない。距離の上限は固定値で制限せず、外側境界と上下の接続を含む形状の成立性で判定する。</w:t>
      </w:r>
    </w:p>
    <w:p>
      <w:pPr>
        <w:pStyle w:val="Heading2"/>
      </w:pPr>
      <w:r>
        <w:t>初版Aの比較指標と検証</w:t>
      </w:r>
    </w:p>
    <w:p>
      <w:r>
        <w:t>全周360°の電場と軌道を計算する。非対称配置には扇形周期や方位平均を使わない。深さ・方位ごとの電位、SiO₂表面電荷、イオン・電子流束、衝突エネルギー・角度を保存する。選択dummy側と反対側の差、底部入射重心(x̄, ȳ)、方位1次成分を保存した基準ケースと比較する。比の分母がゼロの場合は未定義として表示する。</w:t>
      </w:r>
    </w:p>
    <w:p>
      <w:r>
        <w:t>回転対称な入口、同径のN本、共通距離の等間隔配置では、360°／N回転の一致を検証する。初期プリセットは6本・60°である。入口や配置が非対称ならこの一致を要求しない。独立乱数シード、メッシュ・外側境界・時間刻みを変え、数値・統計誤差と配置の影響を区別する。距離が大きいほど異常が増える、という結論は事前に組み込まない。</w:t>
      </w:r>
    </w:p>
    <w:p>
      <w:pPr>
        <w:pStyle w:val="Heading2"/>
      </w:pPr>
      <w:r>
        <w:t>段階B：実際の形状変化</w:t>
      </w:r>
    </w:p>
    <w:p>
      <w:r>
        <w:t>材料ごとの除去モデルを追加し、衝突エネルギー・角度と粒子流束から表面の法線方向速度を求める。最初は校正した有効収率モデルを候補とする。必要に応じてラジカル輸送、被覆率、パッシベーション、Carbonの消耗、再堆積を追加する。電子は帯電を通じて軌道へ影響し、材料除去への寄与は反応モデルで別途定義する。</w:t>
      </w:r>
    </w:p>
    <w:p>
      <w:r>
        <w:t>時間ごとにChannel形状を更新し、電場・衝突判定・面積集計を再構築する。残存SiO₂の電荷と除去・新生面の電荷処理を明示する。埋め込み金属は初期状態では加工面に露出しない。SiO₂除去で金属が露出した場合は、その面を導体の粒子衝突面へ切り替え、金属別の相互作用・除去係数を適用する。係数未整備の場合は露出を適用限界として記録する。導通が切れる場合には接続関係も更新する。</w:t>
      </w:r>
    </w:p>
    <w:p>
      <w:r>
        <w:t>距離と加工時間に対応する実測断面で、中心線の曲がり、深さ別径、底面偏心、マスク形状を比較する。初期欠陥や実粒子ショットノイズを扱わない平均場モデルから、異常の発生確率は予測しない。反応係数と実測データの取得後に段階Bの精度目標・計算量・日程を確定する。</w:t>
      </w:r>
    </w:p>
    <w:p>
      <w:pPr>
        <w:pStyle w:val="Heading1"/>
      </w:pPr>
      <w:r>
        <w:t>11 全寸法のパラメーター化</w:t>
      </w:r>
    </w:p>
    <w:p>
      <w:pPr>
        <w:pStyle w:val="Heading2"/>
      </w:pPr>
      <w:r>
        <w:t>寸法入力と派生量</w:t>
      </w:r>
    </w:p>
    <w:p>
      <w:r>
        <w:t>寸法をコードへ固定しない。既定プリセット、画面編集、版付きJSON、バッチ実行は同じ設定定義を使う。全長さを単位付きで入力し、入力値と派生値を分けて保存する。固定形状とは1ケースの帯電計算中に形状を変えないという意味であり、ケース間の寸法変更を制限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016"/>
        <w:gridCol w:w="5630"/>
      </w:tblGrid>
      <w:tr>
        <w:trPr>
          <w:cantSplit/>
          <w:tblHeader/>
        </w:trPr>
        <w:tc>
          <w:tcPr>
            <w:tcW w:type="dxa" w:w="2520"/>
            <w:vAlign w:val="center"/>
            <w:tcMar>
              <w:top w:w="75" w:type="dxa"/>
              <w:bottom w:w="75" w:type="dxa"/>
              <w:left w:w="95" w:type="dxa"/>
              <w:right w:w="95" w:type="dxa"/>
            </w:tcMar>
            <w:shd w:fill="DCE6F1"/>
          </w:tcPr>
          <w:p>
            <w:pPr>
              <w:spacing w:after="60" w:before="60" w:line="286" w:lineRule="exact"/>
            </w:pPr>
            <w:r>
              <w:rPr>
                <w:b/>
                <w:sz w:val="20"/>
              </w:rPr>
              <w:t>パラメーター</w:t>
            </w:r>
          </w:p>
        </w:tc>
        <w:tc>
          <w:tcPr>
            <w:tcW w:type="dxa" w:w="2016"/>
            <w:vAlign w:val="center"/>
            <w:tcMar>
              <w:top w:w="75" w:type="dxa"/>
              <w:bottom w:w="75" w:type="dxa"/>
              <w:left w:w="95" w:type="dxa"/>
              <w:right w:w="95" w:type="dxa"/>
            </w:tcMar>
            <w:shd w:fill="DCE6F1"/>
          </w:tcPr>
          <w:p>
            <w:pPr>
              <w:spacing w:after="60" w:before="60" w:line="286" w:lineRule="exact"/>
            </w:pPr>
            <w:r>
              <w:rPr>
                <w:b/>
                <w:sz w:val="20"/>
              </w:rPr>
              <w:t>初期値</w:t>
            </w:r>
          </w:p>
        </w:tc>
        <w:tc>
          <w:tcPr>
            <w:tcW w:type="dxa" w:w="5630"/>
            <w:vAlign w:val="center"/>
            <w:tcMar>
              <w:top w:w="75" w:type="dxa"/>
              <w:bottom w:w="75" w:type="dxa"/>
              <w:left w:w="95" w:type="dxa"/>
              <w:right w:w="95" w:type="dxa"/>
            </w:tcMar>
            <w:shd w:fill="DCE6F1"/>
          </w:tcPr>
          <w:p>
            <w:pPr>
              <w:spacing w:after="60" w:before="60" w:line="286" w:lineRule="exact"/>
            </w:pPr>
            <w:r>
              <w:rPr>
                <w:b/>
                <w:sz w:val="20"/>
              </w:rPr>
              <w:t>編集と連動</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Channel径と形状</w:t>
            </w:r>
          </w:p>
        </w:tc>
        <w:tc>
          <w:tcPr>
            <w:tcW w:type="dxa" w:w="2016"/>
            <w:vAlign w:val="center"/>
            <w:tcMar>
              <w:top w:w="75" w:type="dxa"/>
              <w:bottom w:w="75" w:type="dxa"/>
              <w:left w:w="95" w:type="dxa"/>
              <w:right w:w="95" w:type="dxa"/>
            </w:tcMar>
          </w:tcPr>
          <w:p>
            <w:pPr>
              <w:spacing w:after="60" w:before="60" w:line="286" w:lineRule="exact"/>
            </w:pPr>
            <w:r>
              <w:rPr>
                <w:b w:val="0"/>
                <w:sz w:val="20"/>
              </w:rPr>
              <w:t>400 nm 円筒</w:t>
            </w:r>
          </w:p>
        </w:tc>
        <w:tc>
          <w:tcPr>
            <w:tcW w:type="dxa" w:w="5630"/>
            <w:vAlign w:val="center"/>
            <w:tcMar>
              <w:top w:w="75" w:type="dxa"/>
              <w:bottom w:w="75" w:type="dxa"/>
              <w:left w:w="95" w:type="dxa"/>
              <w:right w:w="95" w:type="dxa"/>
            </w:tcMar>
          </w:tcPr>
          <w:p>
            <w:pPr>
              <w:spacing w:after="60" w:before="60" w:line="286" w:lineRule="exact"/>
            </w:pPr>
            <w:r>
              <w:rPr>
                <w:b w:val="0"/>
                <w:sz w:val="20"/>
              </w:rPr>
              <w:t>径、入口・底部径、深さ別半径を指定。テーパーや段差は半径プロファイルで保存。</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Carbon厚 tC</w:t>
            </w:r>
          </w:p>
        </w:tc>
        <w:tc>
          <w:tcPr>
            <w:tcW w:type="dxa" w:w="2016"/>
            <w:vAlign w:val="center"/>
            <w:tcMar>
              <w:top w:w="75" w:type="dxa"/>
              <w:bottom w:w="75" w:type="dxa"/>
              <w:left w:w="95" w:type="dxa"/>
              <w:right w:w="95" w:type="dxa"/>
            </w:tcMar>
          </w:tcPr>
          <w:p>
            <w:pPr>
              <w:spacing w:after="60" w:before="60" w:line="286" w:lineRule="exact"/>
            </w:pPr>
            <w:r>
              <w:rPr>
                <w:b w:val="0"/>
                <w:sz w:val="20"/>
              </w:rPr>
              <w:t>300 nm</w:t>
            </w:r>
          </w:p>
        </w:tc>
        <w:tc>
          <w:tcPr>
            <w:tcW w:type="dxa" w:w="5630"/>
            <w:vAlign w:val="center"/>
            <w:tcMar>
              <w:top w:w="75" w:type="dxa"/>
              <w:bottom w:w="75" w:type="dxa"/>
              <w:left w:w="95" w:type="dxa"/>
              <w:right w:w="95" w:type="dxa"/>
            </w:tcMar>
          </w:tcPr>
          <w:p>
            <w:pPr>
              <w:spacing w:after="60" w:before="60" w:line="286" w:lineRule="exact"/>
            </w:pPr>
            <w:r>
              <w:rPr>
                <w:b w:val="0"/>
                <w:sz w:val="20"/>
              </w:rPr>
              <w:t>編集後、下面位置と金属上端を更新。</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SiO₂厚 tOx</w:t>
            </w:r>
          </w:p>
        </w:tc>
        <w:tc>
          <w:tcPr>
            <w:tcW w:type="dxa" w:w="2016"/>
            <w:vAlign w:val="center"/>
            <w:tcMar>
              <w:top w:w="75" w:type="dxa"/>
              <w:bottom w:w="75" w:type="dxa"/>
              <w:left w:w="95" w:type="dxa"/>
              <w:right w:w="95" w:type="dxa"/>
            </w:tcMar>
          </w:tcPr>
          <w:p>
            <w:pPr>
              <w:spacing w:after="60" w:before="60" w:line="286" w:lineRule="exact"/>
            </w:pPr>
            <w:r>
              <w:rPr>
                <w:b w:val="0"/>
                <w:sz w:val="20"/>
              </w:rPr>
              <w:t>2100 nm</w:t>
            </w:r>
          </w:p>
        </w:tc>
        <w:tc>
          <w:tcPr>
            <w:tcW w:type="dxa" w:w="5630"/>
            <w:vAlign w:val="center"/>
            <w:tcMar>
              <w:top w:w="75" w:type="dxa"/>
              <w:bottom w:w="75" w:type="dxa"/>
              <w:left w:w="95" w:type="dxa"/>
              <w:right w:w="95" w:type="dxa"/>
            </w:tcMar>
          </w:tcPr>
          <w:p>
            <w:pPr>
              <w:spacing w:after="60" w:before="60" w:line="286" w:lineRule="exact"/>
            </w:pPr>
            <w:r>
              <w:rPr>
                <w:b w:val="0"/>
                <w:sz w:val="20"/>
              </w:rPr>
              <w:t>編集後、基板上面と金属下端を更新。</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Channel深さ Hch</w:t>
            </w:r>
          </w:p>
        </w:tc>
        <w:tc>
          <w:tcPr>
            <w:tcW w:type="dxa" w:w="2016"/>
            <w:vAlign w:val="center"/>
            <w:tcMar>
              <w:top w:w="75" w:type="dxa"/>
              <w:bottom w:w="75" w:type="dxa"/>
              <w:left w:w="95" w:type="dxa"/>
              <w:right w:w="95" w:type="dxa"/>
            </w:tcMar>
          </w:tcPr>
          <w:p>
            <w:pPr>
              <w:spacing w:after="60" w:before="60" w:line="286" w:lineRule="exact"/>
            </w:pPr>
            <w:r>
              <w:rPr>
                <w:b w:val="0"/>
                <w:sz w:val="20"/>
              </w:rPr>
              <w:t>2400 nm</w:t>
            </w:r>
          </w:p>
        </w:tc>
        <w:tc>
          <w:tcPr>
            <w:tcW w:type="dxa" w:w="5630"/>
            <w:vAlign w:val="center"/>
            <w:tcMar>
              <w:top w:w="75" w:type="dxa"/>
              <w:bottom w:w="75" w:type="dxa"/>
              <w:left w:w="95" w:type="dxa"/>
              <w:right w:w="95" w:type="dxa"/>
            </w:tcMar>
          </w:tcPr>
          <w:p>
            <w:pPr>
              <w:spacing w:after="60" w:before="60" w:line="286" w:lineRule="exact"/>
            </w:pPr>
            <w:r>
              <w:rPr>
                <w:b w:val="0"/>
                <w:sz w:val="20"/>
              </w:rPr>
              <w:t>基板まで貫通はtC＋tOx。直接入力では加工途中の深さも指定し、底面材料を判定。</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金属径 Dk</w:t>
            </w:r>
          </w:p>
        </w:tc>
        <w:tc>
          <w:tcPr>
            <w:tcW w:type="dxa" w:w="2016"/>
            <w:vAlign w:val="center"/>
            <w:tcMar>
              <w:top w:w="75" w:type="dxa"/>
              <w:bottom w:w="75" w:type="dxa"/>
              <w:left w:w="95" w:type="dxa"/>
              <w:right w:w="95" w:type="dxa"/>
            </w:tcMar>
          </w:tcPr>
          <w:p>
            <w:pPr>
              <w:spacing w:after="60" w:before="60" w:line="286" w:lineRule="exact"/>
            </w:pPr>
            <w:r>
              <w:rPr>
                <w:b w:val="0"/>
                <w:sz w:val="20"/>
              </w:rPr>
              <w:t>120 nm</w:t>
            </w:r>
          </w:p>
        </w:tc>
        <w:tc>
          <w:tcPr>
            <w:tcW w:type="dxa" w:w="5630"/>
            <w:vAlign w:val="center"/>
            <w:tcMar>
              <w:top w:w="75" w:type="dxa"/>
              <w:bottom w:w="75" w:type="dxa"/>
              <w:left w:w="95" w:type="dxa"/>
              <w:right w:w="95" w:type="dxa"/>
            </w:tcMar>
          </w:tcPr>
          <w:p>
            <w:pPr>
              <w:spacing w:after="60" w:before="60" w:line="286" w:lineRule="exact"/>
            </w:pPr>
            <w:r>
              <w:rPr>
                <w:b w:val="0"/>
                <w:sz w:val="20"/>
              </w:rPr>
              <w:t>共通径または各金属の径を個別入力。</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金属長さと端位置</w:t>
            </w:r>
          </w:p>
        </w:tc>
        <w:tc>
          <w:tcPr>
            <w:tcW w:type="dxa" w:w="2016"/>
            <w:vAlign w:val="center"/>
            <w:tcMar>
              <w:top w:w="75" w:type="dxa"/>
              <w:bottom w:w="75" w:type="dxa"/>
              <w:left w:w="95" w:type="dxa"/>
              <w:right w:w="95" w:type="dxa"/>
            </w:tcMar>
          </w:tcPr>
          <w:p>
            <w:pPr>
              <w:spacing w:after="60" w:before="60" w:line="286" w:lineRule="exact"/>
            </w:pPr>
            <w:r>
              <w:rPr>
                <w:b w:val="0"/>
                <w:sz w:val="20"/>
              </w:rPr>
              <w:t>2100 nm</w:t>
            </w:r>
          </w:p>
        </w:tc>
        <w:tc>
          <w:tcPr>
            <w:tcW w:type="dxa" w:w="5630"/>
            <w:vAlign w:val="center"/>
            <w:tcMar>
              <w:top w:w="75" w:type="dxa"/>
              <w:bottom w:w="75" w:type="dxa"/>
              <w:left w:w="95" w:type="dxa"/>
              <w:right w:w="95" w:type="dxa"/>
            </w:tcMar>
          </w:tcPr>
          <w:p>
            <w:pPr>
              <w:spacing w:after="60" w:before="60" w:line="286" w:lineRule="exact"/>
            </w:pPr>
            <w:r>
              <w:rPr>
                <w:b w:val="0"/>
                <w:sz w:val="20"/>
              </w:rPr>
              <w:t>標準は上端tC、下端tC＋tOx、長さtOx。端位置の直接入力は接続条件も検査。</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金属個数 N</w:t>
            </w:r>
          </w:p>
        </w:tc>
        <w:tc>
          <w:tcPr>
            <w:tcW w:type="dxa" w:w="2016"/>
            <w:vAlign w:val="center"/>
            <w:tcMar>
              <w:top w:w="75" w:type="dxa"/>
              <w:bottom w:w="75" w:type="dxa"/>
              <w:left w:w="95" w:type="dxa"/>
              <w:right w:w="95" w:type="dxa"/>
            </w:tcMar>
          </w:tcPr>
          <w:p>
            <w:pPr>
              <w:spacing w:after="60" w:before="60" w:line="286" w:lineRule="exact"/>
            </w:pPr>
            <w:r>
              <w:rPr>
                <w:b w:val="0"/>
                <w:sz w:val="20"/>
              </w:rPr>
              <w:t>6本</w:t>
            </w:r>
          </w:p>
        </w:tc>
        <w:tc>
          <w:tcPr>
            <w:tcW w:type="dxa" w:w="5630"/>
            <w:vAlign w:val="center"/>
            <w:tcMar>
              <w:top w:w="75" w:type="dxa"/>
              <w:bottom w:w="75" w:type="dxa"/>
              <w:left w:w="95" w:type="dxa"/>
              <w:right w:w="95" w:type="dxa"/>
            </w:tcMar>
          </w:tcPr>
          <w:p>
            <w:pPr>
              <w:spacing w:after="60" w:before="60" w:line="286" w:lineRule="exact"/>
            </w:pPr>
            <w:r>
              <w:rPr>
                <w:b w:val="0"/>
                <w:sz w:val="20"/>
              </w:rPr>
              <w:t>正の整数。等間隔角度は360°／Nへ更新。</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間隔 gk と配置</w:t>
            </w:r>
          </w:p>
        </w:tc>
        <w:tc>
          <w:tcPr>
            <w:tcW w:type="dxa" w:w="2016"/>
            <w:vAlign w:val="center"/>
            <w:tcMar>
              <w:top w:w="75" w:type="dxa"/>
              <w:bottom w:w="75" w:type="dxa"/>
              <w:left w:w="95" w:type="dxa"/>
              <w:right w:w="95" w:type="dxa"/>
            </w:tcMar>
          </w:tcPr>
          <w:p>
            <w:pPr>
              <w:spacing w:after="60" w:before="60" w:line="286" w:lineRule="exact"/>
            </w:pPr>
            <w:r>
              <w:rPr>
                <w:b w:val="0"/>
                <w:sz w:val="20"/>
              </w:rPr>
              <w:t>50 nm θ0＝0°</w:t>
            </w:r>
          </w:p>
        </w:tc>
        <w:tc>
          <w:tcPr>
            <w:tcW w:type="dxa" w:w="5630"/>
            <w:vAlign w:val="center"/>
            <w:tcMar>
              <w:top w:w="75" w:type="dxa"/>
              <w:bottom w:w="75" w:type="dxa"/>
              <w:left w:w="95" w:type="dxa"/>
              <w:right w:w="95" w:type="dxa"/>
            </w:tcMar>
          </w:tcPr>
          <w:p>
            <w:pPr>
              <w:spacing w:after="60" w:before="60" w:line="286" w:lineRule="exact"/>
            </w:pPr>
            <w:r>
              <w:rPr>
                <w:b w:val="0"/>
                <w:sz w:val="20"/>
              </w:rPr>
              <w:t>全体共通と個別値。方位角、中心距離またはxy座標を指定するモードも用意。</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計算領域と注入面</w:t>
            </w:r>
          </w:p>
        </w:tc>
        <w:tc>
          <w:tcPr>
            <w:tcW w:type="dxa" w:w="2016"/>
            <w:vAlign w:val="center"/>
            <w:tcMar>
              <w:top w:w="75" w:type="dxa"/>
              <w:bottom w:w="75" w:type="dxa"/>
              <w:left w:w="95" w:type="dxa"/>
              <w:right w:w="95" w:type="dxa"/>
            </w:tcMar>
          </w:tcPr>
          <w:p>
            <w:pPr>
              <w:spacing w:after="60" w:before="60" w:line="286" w:lineRule="exact"/>
            </w:pPr>
            <w:r>
              <w:rPr>
                <w:b w:val="0"/>
                <w:sz w:val="20"/>
              </w:rPr>
              <w:t>自動生成</w:t>
            </w:r>
          </w:p>
        </w:tc>
        <w:tc>
          <w:tcPr>
            <w:tcW w:type="dxa" w:w="5630"/>
            <w:vAlign w:val="center"/>
            <w:tcMar>
              <w:top w:w="75" w:type="dxa"/>
              <w:bottom w:w="75" w:type="dxa"/>
              <w:left w:w="95" w:type="dxa"/>
              <w:right w:w="95" w:type="dxa"/>
            </w:tcMar>
          </w:tcPr>
          <w:p>
            <w:pPr>
              <w:spacing w:after="60" w:before="60" w:line="286" w:lineRule="exact"/>
            </w:pPr>
            <w:r>
              <w:rPr>
                <w:b w:val="0"/>
                <w:sz w:val="20"/>
              </w:rPr>
              <w:t>横方向余白、入口上方高さ、基板側領域厚、注入面位置、周期セル寸法を直接指定可能。</w:t>
            </w:r>
          </w:p>
        </w:tc>
      </w:tr>
      <w:tr>
        <w:trPr>
          <w:cantSplit/>
        </w:trPr>
        <w:tc>
          <w:tcPr>
            <w:tcW w:type="dxa" w:w="2520"/>
            <w:vAlign w:val="center"/>
            <w:tcMar>
              <w:top w:w="75" w:type="dxa"/>
              <w:bottom w:w="75" w:type="dxa"/>
              <w:left w:w="95" w:type="dxa"/>
              <w:right w:w="95" w:type="dxa"/>
            </w:tcMar>
          </w:tcPr>
          <w:p>
            <w:pPr>
              <w:spacing w:after="60" w:before="60" w:line="286" w:lineRule="exact"/>
            </w:pPr>
            <w:r>
              <w:rPr>
                <w:b w:val="0"/>
                <w:sz w:val="20"/>
              </w:rPr>
              <w:t>メッシュ寸法</w:t>
            </w:r>
          </w:p>
        </w:tc>
        <w:tc>
          <w:tcPr>
            <w:tcW w:type="dxa" w:w="2016"/>
            <w:vAlign w:val="center"/>
            <w:tcMar>
              <w:top w:w="75" w:type="dxa"/>
              <w:bottom w:w="75" w:type="dxa"/>
              <w:left w:w="95" w:type="dxa"/>
              <w:right w:w="95" w:type="dxa"/>
            </w:tcMar>
          </w:tcPr>
          <w:p>
            <w:pPr>
              <w:spacing w:after="60" w:before="60" w:line="286" w:lineRule="exact"/>
            </w:pPr>
            <w:r>
              <w:rPr>
                <w:b w:val="0"/>
                <w:sz w:val="20"/>
              </w:rPr>
              <w:t>精度設定から生成</w:t>
            </w:r>
          </w:p>
        </w:tc>
        <w:tc>
          <w:tcPr>
            <w:tcW w:type="dxa" w:w="5630"/>
            <w:vAlign w:val="center"/>
            <w:tcMar>
              <w:top w:w="75" w:type="dxa"/>
              <w:bottom w:w="75" w:type="dxa"/>
              <w:left w:w="95" w:type="dxa"/>
              <w:right w:w="95" w:type="dxa"/>
            </w:tcMar>
          </w:tcPr>
          <w:p>
            <w:pPr>
              <w:spacing w:after="60" w:before="60" w:line="286" w:lineRule="exact"/>
            </w:pPr>
            <w:r>
              <w:rPr>
                <w:b w:val="0"/>
                <w:sz w:val="20"/>
              </w:rPr>
              <w:t>最小・最大セル寸法、界面近傍寸法、成長率を設定。新しい最小間隔等へ追従。</w:t>
            </w:r>
          </w:p>
        </w:tc>
      </w:tr>
    </w:tbl>
    <w:p/>
    <w:p>
      <w:r>
        <w:t>同じ量を二重に独立入力しない。たとえば間隔入力モードでは中心距離を派生表示し、座標入力モードでは間隔を計算して表示する。円筒の中心距離はDch／2＋Dk／2＋gk。テーパーでは間隔の評価深さを明示し、全深さでの最小離隔も検査する。接続モードでは金属長さを膜厚に連動させ、直接入力へ切り替えた場合は、指定した端が接続先を満たすか検査する。</w:t>
      </w:r>
    </w:p>
    <w:p>
      <w:pPr>
        <w:pStyle w:val="Heading2"/>
      </w:pPr>
      <w:r>
        <w:t>寸法変更から再計算まで</w:t>
      </w:r>
    </w:p>
    <w:p>
      <w:r>
        <w:t>編集 → 派生量更新 → 幾何・接続検査 → 形状プレビュー → 再メッシュ → 電場と粒子計算、の順に処理する。有限な値、正の径・厚さ、領域への包含、重なり、Channelと金属の接触を検査する。未接続の金属を共通導体へ自動割当しない。形状や材料配置が変われば、電場行列・前処理・衝突面・面積集計を更新し、以前の形状のキャッシュを使わない。</w:t>
      </w:r>
    </w:p>
    <w:p>
      <w:r>
        <w:t>各ジョブは開始時の設定を固定し、入力値、派生量、単位、設定版、形状・メッシュ識別情報を結果と保存する。実行中の編集は別ジョブへ適用する。形状を変更した旧チェックポイントを同一計算として再開しない。任意の寸法を値リストまたは開始・終了・刻みで掃引し、必要なら複数寸法を組み合わせる。保存・再読込後も同じ形状と条件を再現する。</w:t>
      </w:r>
    </w:p>
    <w:p>
      <w:r>
        <w:t>入口評価面の位置・面積を変えた場合はIAEDFデータとの対応を再検査する。ウェハ波形を変える場合は対応するIAEDFへ更新する。寸法変更ごとに上流計算を必ずやり直すわけではなく、共有する波形・評価面・局所座標・分布条件が成立するかで判断する。プリセット値だけでなく、径・膜厚・個数・間隔を変更した代表ケースで形状生成と連動を検証する。</w:t>
      </w:r>
    </w:p>
    <w:sectPr w:rsidR="00FC693F" w:rsidRPr="0006063C" w:rsidSect="00034616">
      <w:footerReference w:type="default" r:id="rId9"/>
      <w:pgSz w:w="12240" w:h="15840"/>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30" w:lineRule="exact"/>
    </w:pPr>
    <w:rPr>
      <w:rFonts w:ascii="Noto Sans CJK JP" w:hAnsi="Noto Sans CJK JP" w:eastAsia="Noto Sans CJK JP"/>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410" w:lineRule="exact"/>
      <w:outlineLvl w:val="0"/>
    </w:pPr>
    <w:rPr>
      <w:rFonts w:asciiTheme="majorHAnsi" w:eastAsiaTheme="majorEastAsia" w:hAnsiTheme="majorHAnsi" w:cstheme="majorBidi" w:ascii="Noto Sans CJK JP" w:hAnsi="Noto Sans CJK JP" w:eastAsia="Noto Sans CJK JP"/>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80" w:line="307" w:lineRule="exact"/>
      <w:outlineLvl w:val="1"/>
    </w:pPr>
    <w:rPr>
      <w:rFonts w:asciiTheme="majorHAnsi" w:eastAsiaTheme="majorEastAsia" w:hAnsiTheme="majorHAnsi" w:cstheme="majorBidi"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589" w:lineRule="exact"/>
      <w:contextualSpacing/>
    </w:pPr>
    <w:rPr>
      <w:rFonts w:asciiTheme="majorHAnsi" w:eastAsiaTheme="majorEastAsia" w:hAnsiTheme="majorHAnsi" w:cstheme="majorBidi" w:ascii="Noto Sans CJK JP" w:hAnsi="Noto Sans CJK JP" w:eastAsia="Noto Sans CJK JP"/>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82" w:lineRule="exact"/>
    </w:pPr>
    <w:rPr>
      <w:rFonts w:asciiTheme="majorHAnsi" w:eastAsiaTheme="majorEastAsia" w:hAnsiTheme="majorHAnsi" w:cstheme="majorBidi" w:ascii="Noto Sans CJK JP" w:hAnsi="Noto Sans CJK JP" w:eastAsia="Noto Sans CJK JP"/>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メモリーデバイスのホール内輸送と帯電シミュレータ 仕様と実装計画</dc:title>
  <dc:subject>全寸法をパラメーター化したChannel輸送・帯電と金属充填dummyの3次元設計</dc:subject>
  <dc:creator>Simulation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