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Vectorless RAG</w:t>
      </w:r>
    </w:p>
    <w:p>
      <w:r>
        <w:t xml:space="preserve">Structure-first document indexing without a vector database.</w:t>
      </w:r>
    </w:p>
    <w:p>
      <w:pPr>
        <w:pStyle w:val="Heading1"/>
      </w:pPr>
      <w:r>
        <w:t xml:space="preserve">Background</w:t>
      </w:r>
    </w:p>
    <w:p>
      <w:r>
        <w:t xml:space="preserve">Embeddings and vector stores add cost &amp; infrastructure to retrieval.</w:t>
      </w:r>
    </w:p>
    <w:p>
      <w:pPr>
        <w:pStyle w:val="Heading2"/>
      </w:pPr>
      <w:r>
        <w:t xml:space="preserve">Prior Work</w:t>
      </w:r>
    </w:p>
    <w:p>
      <w:r>
        <w:t xml:space="preserve">PageIndex reconstructs a document structure with hundreds of LLM calls.</w:t>
      </w:r>
    </w:p>
    <w:p>
      <w:pPr>
        <w:pStyle w:val="Heading1"/>
      </w:pPr>
      <w:r>
        <w:t xml:space="preserve">Conclusion</w:t>
      </w:r>
    </w:p>
    <w:p>
      <w:r>
        <w:t xml:space="preserve">Reading the structure a document already contains is exact and free.</w:t>
      </w:r>
    </w:p>
  </w:body>
</w:document>
</file>