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F3864"/>
          <w:sz w:val="44"/>
          <w:szCs w:val="44"/>
        </w:rPr>
        <w:t xml:space="preserve">Leaf Physiognomy-Based Paleoclimate Reconstruction</w:t>
      </w:r>
    </w:p>
    <w:p>
      <w:pPr>
        <w:spacing w:after="80"/>
        <w:jc w:val="center"/>
      </w:pPr>
      <w:r>
        <w:rPr>
          <w:rFonts w:ascii="Arial" w:cs="Arial" w:eastAsia="Arial" w:hAnsi="Arial"/>
          <w:b/>
          <w:bCs/>
          <w:color w:val="2F5496"/>
          <w:sz w:val="36"/>
          <w:szCs w:val="36"/>
        </w:rPr>
        <w:t xml:space="preserve">Using Ensemble Machine Learning</w:t>
      </w:r>
    </w:p>
    <w:p>
      <w:pPr>
        <w:spacing w:after="200"/>
        <w:jc w:val="center"/>
      </w:pPr>
      <w:r>
        <w:rPr>
          <w:rFonts w:ascii="Arial" w:cs="Arial" w:eastAsia="Arial" w:hAnsi="Arial"/>
          <w:color w:val="4472C4"/>
          <w:sz w:val="28"/>
          <w:szCs w:val="28"/>
        </w:rPr>
        <w:t xml:space="preserve">Methods, Results and Analyses</w:t>
      </w:r>
    </w:p>
    <w:p>
      <w:pPr>
        <w:spacing w:after="120"/>
      </w:pPr>
    </w:p>
    <w:p>
      <w:pPr>
        <w:spacing w:after="120"/>
      </w:pPr>
    </w:p>
    <w:p>
      <w:pPr>
        <w:pBdr>
          <w:top w:val="single" w:color="2F5496" w:sz="6" w:space="12"/>
        </w:pBdr>
        <w:spacing w:after="120" w:before="400"/>
        <w:jc w:val="center"/>
      </w:pPr>
      <w:r>
        <w:rPr>
          <w:rFonts w:ascii="Arial" w:cs="Arial" w:eastAsia="Arial" w:hAnsi="Arial"/>
          <w:color w:val="555555"/>
          <w:sz w:val="22"/>
          <w:szCs w:val="22"/>
        </w:rPr>
        <w:t xml:space="preserve">31 Leaf Functional Traits → 7 Thermodynamic Climate Variables</w:t>
      </w:r>
    </w:p>
    <w:p>
      <w:pPr>
        <w:spacing w:after="80"/>
        <w:jc w:val="center"/>
      </w:pPr>
      <w:r>
        <w:rPr>
          <w:rFonts w:ascii="Arial" w:cs="Arial" w:eastAsia="Arial" w:hAnsi="Arial"/>
          <w:color w:val="555555"/>
          <w:sz w:val="22"/>
          <w:szCs w:val="22"/>
        </w:rPr>
        <w:t xml:space="preserve">393 Modern Plant Samples (Training) | 71 Fossil Samples (Transfer)</w:t>
      </w:r>
    </w:p>
    <w:p>
      <w:pPr>
        <w:spacing w:after="80"/>
        <w:jc w:val="center"/>
      </w:pPr>
      <w:r>
        <w:rPr>
          <w:rFonts w:ascii="Arial" w:cs="Arial" w:eastAsia="Arial" w:hAnsi="Arial"/>
          <w:color w:val="777777"/>
          <w:sz w:val="20"/>
          <w:szCs w:val="20"/>
        </w:rPr>
        <w:t xml:space="preserve">RF + XGBoost + GBDT + SVR Ensemble with Temperature-Aware Two-Stage Modeling</w:t>
      </w:r>
    </w:p>
    <w:p>
      <w:pPr>
        <w:spacing w:after="120"/>
      </w:pPr>
    </w:p>
    <w:p>
      <w:pPr>
        <w:spacing w:before="600"/>
        <w:jc w:val="center"/>
      </w:pPr>
      <w:r>
        <w:rPr>
          <w:rFonts w:ascii="Arial" w:cs="Arial" w:eastAsia="Arial" w:hAnsi="Arial"/>
          <w:color w:val="999999"/>
          <w:sz w:val="22"/>
          <w:szCs w:val="22"/>
        </w:rPr>
        <w:t xml:space="preserve">June 2026</w:t>
      </w:r>
    </w:p>
    <w:p>
      <w:pPr>
        <w:sectPr>
          <w:pgSz w:w="12240" w:h="15840" w:orient="portrait"/>
          <w:pgMar w:top="1800" w:right="1440" w:bottom="1440" w:left="1440" w:header="708" w:footer="708" w:gutter="0"/>
          <w:pgNumType/>
          <w:docGrid w:linePitch="360"/>
        </w:sectPr>
      </w:pPr>
    </w:p>
    <w:p>
      <w:pPr>
        <w:pStyle w:val="Heading1"/>
      </w:pPr>
      <w:r>
        <w:t xml:space="preserve">1. Introduction &amp; Objectives</w:t>
      </w:r>
    </w:p>
    <w:p>
      <w:pPr>
        <w:spacing w:after="120"/>
      </w:pPr>
      <w:r>
        <w:rPr>
          <w:rFonts w:ascii="Arial" w:cs="Arial" w:eastAsia="Arial" w:hAnsi="Arial"/>
          <w:sz w:val="22"/>
          <w:szCs w:val="22"/>
        </w:rPr>
        <w:t xml:space="preserve">This study applies ensemble machine learning to reconstruct paleoclimate from leaf physiognomic traits, motivated by the well-established relationship between leaf morphology and climate. The central hypothesis is that leaf functional traits encode thermodynamic climate information beyond simple temperature and precipitation, extending to moist enthalpy (ENTHAL) and specific humidity (SH) — variables that have rarely been targeted in leaf physiognomy research.</w:t>
      </w:r>
    </w:p>
    <w:p>
      <w:pPr>
        <w:spacing w:after="200"/>
      </w:pPr>
      <w:r>
        <w:rPr>
          <w:rFonts w:ascii="Arial" w:cs="Arial" w:eastAsia="Arial" w:hAnsi="Arial"/>
          <w:sz w:val="22"/>
          <w:szCs w:val="22"/>
        </w:rPr>
        <w:t xml:space="preserve">We employ a multi-model ensemble of Random Forest, XGBoost, Gradient Boosting Decision Trees, and Support Vector Regression, combined with a novel two-stage temperature-aware modeling strategy. The framework is trained on 393 modern plant samples from global and Tibetan Plateau sites, and externally validated through fossil transfer prediction on 71 fossil assemblages.</w:t>
      </w:r>
    </w:p>
    <w:p>
      <w:pPr>
        <w:pStyle w:val="Heading1"/>
      </w:pPr>
      <w:r>
        <w:t xml:space="preserve">2. Data &amp; Methodology</w:t>
      </w:r>
    </w:p>
    <w:p>
      <w:pPr>
        <w:pStyle w:val="Heading2"/>
      </w:pPr>
      <w:r>
        <w:t xml:space="preserve">2.1 Training and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000"/>
        <w:gridCol w:w="2000"/>
        <w:gridCol w:w="1960"/>
      </w:tblGrid>
      <w:tr>
        <w:tc>
          <w:tcPr>
            <w:tcW w:type="dxa" w:w="16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Dataset</w:t>
            </w:r>
          </w:p>
        </w:tc>
        <w:tc>
          <w:tcPr>
            <w:tcW w:type="dxa" w:w="14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Samples</w:t>
            </w:r>
          </w:p>
        </w:tc>
        <w:tc>
          <w:tcPr>
            <w:tcW w:type="dxa" w:w="14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Regions</w:t>
            </w:r>
          </w:p>
        </w:tc>
        <w:tc>
          <w:tcPr>
            <w:tcW w:type="dxa" w:w="10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Traits</w:t>
            </w:r>
          </w:p>
        </w:tc>
        <w:tc>
          <w:tcPr>
            <w:tcW w:type="dxa" w:w="20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Climate Variables</w:t>
            </w:r>
          </w:p>
        </w:tc>
        <w:tc>
          <w:tcPr>
            <w:tcW w:type="dxa" w:w="196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Modern Plants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378 + 15 = 393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Global + Tibet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MAT, WMMT, CMMT, GROWSEAS, RH, SH, ENTHAL</w:t>
            </w:r>
          </w:p>
        </w:tc>
        <w:tc>
          <w:tcPr>
            <w:tcW w:type="dxa" w:w="19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Training (5-fold CV)</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Fossil Assemblages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Multi-region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Same 7 variables</w:t>
            </w:r>
          </w:p>
        </w:tc>
        <w:tc>
          <w:tcPr>
            <w:tcW w:type="dxa" w:w="1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External Test (Transfer)</w:t>
            </w:r>
          </w:p>
        </w:tc>
      </w:tr>
    </w:tbl>
    <w:p>
      <w:pPr>
        <w:spacing w:after="120"/>
      </w:pPr>
    </w:p>
    <w:p>
      <w:pPr>
        <w:spacing w:after="120"/>
      </w:pPr>
      <w:r>
        <w:rPr>
          <w:rFonts w:ascii="Arial" w:cs="Arial" w:eastAsia="Arial" w:hAnsi="Arial"/>
          <w:sz w:val="22"/>
          <w:szCs w:val="22"/>
        </w:rPr>
        <w:t xml:space="preserve">Leaf traits encompass 31 morphometric categories: leaf size classes (Leptophyl through Mesophyl series), shape descriptors (Elliptic, Ovate, Obovate, Oblong), apex/base types (Apex Acute, Apex Attenuate, Base Acute, Base Obtuse), and margin characters (Teeth Close, No Teeth, Teeth Regular, Teeth Compound, Teeth Acute). Climate targets include four thermodynamic temperature variables and three moisture-energy variables.</w:t>
      </w:r>
    </w:p>
    <w:p>
      <w:pPr>
        <w:pStyle w:val="Heading2"/>
      </w:pPr>
      <w:r>
        <w:t xml:space="preserve">2.2 Data Preprocessing</w:t>
      </w:r>
    </w:p>
    <w:p>
      <w:pPr>
        <w:pStyle w:val="ListParagraph"/>
        <w:numPr>
          <w:ilvl w:val="0"/>
          <w:numId w:val="2"/>
        </w:numPr>
        <w:spacing w:after="80"/>
      </w:pPr>
      <w:r>
        <w:rPr>
          <w:rFonts w:ascii="Arial" w:cs="Arial" w:eastAsia="Arial" w:hAnsi="Arial"/>
          <w:b/>
          <w:bCs/>
          <w:sz w:val="22"/>
          <w:szCs w:val="22"/>
        </w:rPr>
        <w:t xml:space="preserve">Quantile Transformation: </w:t>
      </w:r>
      <w:r>
        <w:rPr>
          <w:rFonts w:ascii="Arial" w:cs="Arial" w:eastAsia="Arial" w:hAnsi="Arial"/>
          <w:sz w:val="22"/>
          <w:szCs w:val="22"/>
        </w:rPr>
        <w:t xml:space="preserve">All 31 trait features are transformed using QuantileTransformer with output_distribution='normal'. This maps each feature to a standard normal distribution, eliminating distributional discrepancies between modern training and fossil test domains. Unlike standard normalization (z-score), the quantile approach is robust to outliers and non-Gaussian trait distributions.</w:t>
      </w:r>
    </w:p>
    <w:p>
      <w:pPr>
        <w:pStyle w:val="ListParagraph"/>
        <w:numPr>
          <w:ilvl w:val="0"/>
          <w:numId w:val="2"/>
        </w:numPr>
        <w:spacing w:after="80"/>
      </w:pPr>
      <w:r>
        <w:rPr>
          <w:rFonts w:ascii="Arial" w:cs="Arial" w:eastAsia="Arial" w:hAnsi="Arial"/>
          <w:b/>
          <w:bCs/>
          <w:sz w:val="22"/>
          <w:szCs w:val="22"/>
        </w:rPr>
        <w:t xml:space="preserve">5-Fold Cross-Validation: </w:t>
      </w:r>
      <w:r>
        <w:rPr>
          <w:rFonts w:ascii="Arial" w:cs="Arial" w:eastAsia="Arial" w:hAnsi="Arial"/>
          <w:sz w:val="22"/>
          <w:szCs w:val="22"/>
        </w:rPr>
        <w:t xml:space="preserve">K-Fold cross-validation (k=5, shuffled) is applied on the 393 modern plant samples. Each fold evaluation uses all four base models independently, yielding 5×4=20 performance estimates per climate variable on the training domain.</w:t>
      </w:r>
    </w:p>
    <w:p>
      <w:pPr>
        <w:pStyle w:val="ListParagraph"/>
        <w:numPr>
          <w:ilvl w:val="0"/>
          <w:numId w:val="2"/>
        </w:numPr>
        <w:spacing w:after="200"/>
      </w:pPr>
      <w:r>
        <w:rPr>
          <w:rFonts w:ascii="Arial" w:cs="Arial" w:eastAsia="Arial" w:hAnsi="Arial"/>
          <w:b/>
          <w:bCs/>
          <w:sz w:val="22"/>
          <w:szCs w:val="22"/>
        </w:rPr>
        <w:t xml:space="preserve">Fossil Transfer Protocol: </w:t>
      </w:r>
      <w:r>
        <w:rPr>
          <w:rFonts w:ascii="Arial" w:cs="Arial" w:eastAsia="Arial" w:hAnsi="Arial"/>
          <w:sz w:val="22"/>
          <w:szCs w:val="22"/>
        </w:rPr>
        <w:t xml:space="preserve">Models are trained on the full plant dataset and directly applied to fossil trait data (n=73). No fine-tuning or calibration is performed on fossils — they serve as a pure held-out external test set, providing an honest assessment of cross-domain generalization.</w:t>
      </w:r>
    </w:p>
    <w:p>
      <w:pPr>
        <w:pStyle w:val="Heading2"/>
      </w:pPr>
      <w:r>
        <w:t xml:space="preserve">2.3 Ensemble Learning Architecture</w:t>
      </w:r>
    </w:p>
    <w:p>
      <w:pPr>
        <w:spacing w:after="80"/>
      </w:pPr>
      <w:r>
        <w:rPr>
          <w:rFonts w:ascii="Arial" w:cs="Arial" w:eastAsia="Arial" w:hAnsi="Arial"/>
          <w:sz w:val="22"/>
          <w:szCs w:val="22"/>
        </w:rPr>
        <w:t xml:space="preserve">The ensemble comprises four complementary base regressors chosen for their distinct inductive biases: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2400"/>
        <w:gridCol w:w="2560"/>
      </w:tblGrid>
      <w:tr>
        <w:tc>
          <w:tcPr>
            <w:tcW w:type="dxa" w:w="12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Model</w:t>
            </w:r>
          </w:p>
        </w:tc>
        <w:tc>
          <w:tcPr>
            <w:tcW w:type="dxa" w:w="20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Abbreviation</w:t>
            </w:r>
          </w:p>
        </w:tc>
        <w:tc>
          <w:tcPr>
            <w:tcW w:type="dxa" w:w="12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Hyperparameters</w:t>
            </w:r>
          </w:p>
        </w:tc>
        <w:tc>
          <w:tcPr>
            <w:tcW w:type="dxa" w:w="256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Rationale</w:t>
            </w:r>
          </w:p>
        </w:tc>
      </w:tr>
      <w:tr>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Random Forest</w:t>
            </w:r>
          </w:p>
        </w:tc>
        <w:tc>
          <w:tcPr>
            <w:tcW w:type="dxa" w:w="2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RF</w:t>
            </w:r>
          </w:p>
        </w:tc>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Bagging</w:t>
            </w:r>
          </w:p>
        </w:tc>
        <w:tc>
          <w:tcPr>
            <w:tcW w:type="dxa" w:w="24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n=500, depth=10, min_leaf=5</w:t>
            </w:r>
          </w:p>
        </w:tc>
        <w:tc>
          <w:tcPr>
            <w:tcW w:type="dxa" w:w="25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Captures non-linear interactions; robust to noise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XGBoost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XGB</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Boosting</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n=200, depth=4, lr=0.1, subsample=0.7</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Gradient boosting with regularization</w:t>
            </w:r>
          </w:p>
        </w:tc>
      </w:tr>
      <w:tr>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Gradient Boosting</w:t>
            </w:r>
          </w:p>
        </w:tc>
        <w:tc>
          <w:tcPr>
            <w:tcW w:type="dxa" w:w="2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GBDT</w:t>
            </w:r>
          </w:p>
        </w:tc>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Boosting</w:t>
            </w:r>
          </w:p>
        </w:tc>
        <w:tc>
          <w:tcPr>
            <w:tcW w:type="dxa" w:w="24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n=200, depth=4, lr=0.1</w:t>
            </w:r>
          </w:p>
        </w:tc>
        <w:tc>
          <w:tcPr>
            <w:tcW w:type="dxa" w:w="25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Sequential additive modeling</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SVM (RBF kernel)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SVR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Kernel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C=10, gamma='scale', ε=0.1</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Captures complex non-linear manifolds</w:t>
            </w:r>
          </w:p>
        </w:tc>
      </w:tr>
    </w:tbl>
    <w:p>
      <w:pPr>
        <w:spacing w:after="120"/>
      </w:pPr>
    </w:p>
    <w:p>
      <w:pPr>
        <w:spacing w:after="80"/>
      </w:pPr>
      <w:r>
        <w:rPr>
          <w:rFonts w:ascii="Arial" w:cs="Arial" w:eastAsia="Arial" w:hAnsi="Arial"/>
          <w:b/>
          <w:bCs/>
          <w:sz w:val="22"/>
          <w:szCs w:val="22"/>
        </w:rPr>
        <w:t xml:space="preserve">Ensemble Strategy: </w:t>
      </w:r>
      <w:r>
        <w:rPr>
          <w:rFonts w:ascii="Arial" w:cs="Arial" w:eastAsia="Arial" w:hAnsi="Arial"/>
          <w:sz w:val="22"/>
          <w:szCs w:val="22"/>
        </w:rPr>
        <w:t xml:space="preserve">For each climate variable, all four models are independently trained on the entire plant dataset and generate predictions on fossil samples. The final prediction is the simple arithmetic mean of the four individual model predictions. This equal-weight ensemble reduces variance and mitigates individual model biases, yielding more robust cross-domain transfer than any single model.</w:t>
      </w:r>
    </w:p>
    <w:p>
      <w:pPr>
        <w:pStyle w:val="ListParagraph"/>
        <w:numPr>
          <w:ilvl w:val="0"/>
          <w:numId w:val="3"/>
        </w:numPr>
        <w:spacing w:after="200"/>
      </w:pPr>
      <w:r>
        <w:rPr>
          <w:rFonts w:ascii="Arial" w:cs="Arial" w:eastAsia="Arial" w:hAnsi="Arial"/>
          <w:sz w:val="22"/>
          <w:szCs w:val="22"/>
        </w:rPr>
        <w:t xml:space="preserve">Compared to the dominant CLAMP (Canonical Correspondence Analysis) approach in paleobotany, our ensemble ML framework (i) models non-linear relationships without linearity assumptions, (ii) handles high-dimensional collinear trait data naturally, and (iii) provides a principled uncertainty estimate through model disagreement.</w:t>
      </w:r>
    </w:p>
    <w:p>
      <w:pPr>
        <w:pStyle w:val="Heading2"/>
      </w:pPr>
      <w:r>
        <w:t xml:space="preserve">2.4 Two-Stage Temperature-Aware Modeling</w:t>
      </w:r>
    </w:p>
    <w:p>
      <w:pPr>
        <w:spacing w:after="80"/>
      </w:pPr>
      <w:r>
        <w:rPr>
          <w:rFonts w:ascii="Arial" w:cs="Arial" w:eastAsia="Arial" w:hAnsi="Arial"/>
          <w:sz w:val="22"/>
          <w:szCs w:val="22"/>
        </w:rPr>
        <w:t xml:space="preserve">This is the core methodological innovation of the study. Moisture-energy variables (RH, SH, ENTHAL) are thermodynamically coupled to temperature: moist enthalpy (ENTHAL) is defined as h = c_p·T + L_v·q, where T is temperature and q is specific humidity. Consequently, predicting moist enthalpy purely from leaf traits without temperature information is thermodynamically incomplete.</w:t>
      </w:r>
    </w:p>
    <w:p>
      <w:pPr>
        <w:spacing w:after="120"/>
      </w:pPr>
    </w:p>
    <w:p>
      <w:pPr>
        <w:spacing w:after="80"/>
      </w:pPr>
      <w:r>
        <w:rPr>
          <w:rFonts w:ascii="Arial" w:cs="Arial" w:eastAsia="Arial" w:hAnsi="Arial"/>
          <w:b/>
          <w:bCs/>
          <w:sz w:val="22"/>
          <w:szCs w:val="22"/>
        </w:rPr>
        <w:t xml:space="preserve">Stage 1 — Temperature Prediction: </w:t>
      </w:r>
      <w:r>
        <w:rPr>
          <w:rFonts w:ascii="Arial" w:cs="Arial" w:eastAsia="Arial" w:hAnsi="Arial"/>
          <w:sz w:val="22"/>
          <w:szCs w:val="22"/>
        </w:rPr>
        <w:t xml:space="preserve">MAT, CMMT, and GROWSEAS are predicted directly from leaf traits using the full ensemble. These temperature predictions serve as auxiliary features in Stage 2.</w:t>
      </w:r>
    </w:p>
    <w:p>
      <w:pPr>
        <w:spacing w:after="80"/>
      </w:pPr>
      <w:r>
        <w:rPr>
          <w:rFonts w:ascii="Arial" w:cs="Arial" w:eastAsia="Arial" w:hAnsi="Arial"/>
          <w:b/>
          <w:bCs/>
          <w:sz w:val="22"/>
          <w:szCs w:val="22"/>
        </w:rPr>
        <w:t xml:space="preserve">Stage 2 — Temperature-Aware Moisture Prediction: </w:t>
      </w:r>
      <w:r>
        <w:rPr>
          <w:rFonts w:ascii="Arial" w:cs="Arial" w:eastAsia="Arial" w:hAnsi="Arial"/>
          <w:sz w:val="22"/>
          <w:szCs w:val="22"/>
        </w:rPr>
        <w:t xml:space="preserve">Enhanced features are constructed by concatenating the 31 original traits with the 3 predicted temperature variables (MAT, CMMT, GROWSEAS). Two parallel models are trained:</w:t>
      </w:r>
    </w:p>
    <w:p>
      <w:pPr>
        <w:pStyle w:val="ListParagraph"/>
        <w:numPr>
          <w:ilvl w:val="0"/>
          <w:numId w:val="4"/>
        </w:numPr>
        <w:spacing w:after="60"/>
      </w:pPr>
      <w:r>
        <w:rPr>
          <w:rFonts w:ascii="Arial" w:cs="Arial" w:eastAsia="Arial" w:hAnsi="Arial"/>
          <w:sz w:val="22"/>
          <w:szCs w:val="22"/>
        </w:rPr>
        <w:t xml:space="preserve">Baseline Model: Traits only (31 features)</w:t>
      </w:r>
    </w:p>
    <w:p>
      <w:pPr>
        <w:pStyle w:val="ListParagraph"/>
        <w:numPr>
          <w:ilvl w:val="0"/>
          <w:numId w:val="4"/>
        </w:numPr>
        <w:spacing w:after="80"/>
      </w:pPr>
      <w:r>
        <w:rPr>
          <w:rFonts w:ascii="Arial" w:cs="Arial" w:eastAsia="Arial" w:hAnsi="Arial"/>
          <w:sz w:val="22"/>
          <w:szCs w:val="22"/>
        </w:rPr>
        <w:t xml:space="preserve">Enhanced Model: Traits + predicted temperature (34 features)</w:t>
      </w:r>
    </w:p>
    <w:p>
      <w:pPr>
        <w:spacing w:after="120"/>
      </w:pPr>
      <w:r>
        <w:rPr>
          <w:rFonts w:ascii="Arial" w:cs="Arial" w:eastAsia="Arial" w:hAnsi="Arial"/>
          <w:sz w:val="22"/>
          <w:szCs w:val="22"/>
        </w:rPr>
        <w:t xml:space="preserve">For training, actual plant-site temperatures are used in Stage 2 (perfect information), avoiding error propagation from Stage 1 predictions. For fossil transfer, Stage 1 predictions feed into Stage 2, simulating the realistic cross-domain workflow where true fossil paleotemperatures are unknown.</w:t>
      </w:r>
    </w:p>
    <w:p>
      <w:pPr>
        <w:pStyle w:val="Heading2"/>
      </w:pPr>
      <w:r>
        <w:t xml:space="preserve">2.5 Adaptive Blending Strategy</w:t>
      </w:r>
    </w:p>
    <w:p>
      <w:pPr>
        <w:spacing w:after="120"/>
      </w:pPr>
      <w:r>
        <w:rPr>
          <w:rFonts w:ascii="Arial" w:cs="Arial" w:eastAsia="Arial" w:hAnsi="Arial"/>
          <w:sz w:val="22"/>
          <w:szCs w:val="22"/>
        </w:rPr>
        <w:t xml:space="preserve">Rather than committing fully to either the baseline or enhanced model, an adaptive blending coefficient (α) is computed per moisture-energy variable based on the empirical cross-validation improvement of adding temperature features:</w:t>
      </w:r>
    </w:p>
    <w:p>
      <w:pPr>
        <w:spacing w:after="80" w:before="80"/>
        <w:jc w:val="center"/>
      </w:pPr>
      <w:r>
        <w:rPr>
          <w:rFonts w:ascii="Arial" w:cs="Arial" w:eastAsia="Arial" w:hAnsi="Arial"/>
          <w:i/>
          <w:iCs/>
          <w:color w:val="2F5496"/>
          <w:sz w:val="22"/>
          <w:szCs w:val="22"/>
        </w:rPr>
        <w:t xml:space="preserve">α = min(0.5, max(0.1, 2 × (CV_enhanced − CV_baseline)))</w:t>
      </w:r>
    </w:p>
    <w:p>
      <w:pPr>
        <w:spacing w:after="120"/>
      </w:pPr>
      <w:r>
        <w:rPr>
          <w:rFonts w:ascii="Arial" w:cs="Arial" w:eastAsia="Arial" w:hAnsi="Arial"/>
          <w:sz w:val="22"/>
          <w:szCs w:val="22"/>
        </w:rPr>
        <w:t xml:space="preserve">When temperature features substantially improve cross-validation performance, the blend favors the enhanced model (α closer to 0.5). When the improvement is marginal, the blend defaults toward the baseline (α = 0.1), preventing over-reliance on predicted temperature features that may introduce noise in fossil transfer.</w:t>
      </w:r>
    </w:p>
    <w:p>
      <w:pPr>
        <w:spacing w:after="200"/>
      </w:pPr>
      <w:r>
        <w:rPr>
          <w:rFonts w:ascii="Arial" w:cs="Arial" w:eastAsia="Arial" w:hAnsi="Arial"/>
          <w:sz w:val="22"/>
          <w:szCs w:val="22"/>
        </w:rPr>
        <w:t xml:space="preserve">Final prediction: y_blend = (1 − α) × y_baseline + α × y_enhanced. This strategy protects against negative transfer while capturing genuine thermodynamic coupling improvements.</w:t>
      </w:r>
    </w:p>
    <w:p>
      <w:r>
        <w:br w:type="page"/>
      </w:r>
    </w:p>
    <w:p>
      <w:pPr>
        <w:pStyle w:val="Heading1"/>
      </w:pPr>
      <w:r>
        <w:t xml:space="preserve">3. Results</w:t>
      </w:r>
    </w:p>
    <w:p>
      <w:pPr>
        <w:pStyle w:val="Heading2"/>
      </w:pPr>
      <w:r>
        <w:t xml:space="preserve">3.1 Temperature Variable Reconstruction</w:t>
      </w:r>
    </w:p>
    <w:p>
      <w:pPr>
        <w:spacing w:after="120"/>
      </w:pPr>
      <w:r>
        <w:rPr>
          <w:rFonts w:ascii="Arial" w:cs="Arial" w:eastAsia="Arial" w:hAnsi="Arial"/>
          <w:sz w:val="22"/>
          <w:szCs w:val="22"/>
        </w:rPr>
        <w:t xml:space="preserve">Four thermodynamic temperature variables are modeled directly from leaf traits using the full ensemble. Cross-validation on modern plants (393 samples) and fossil transfer evaluation (73 samples) yield the following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2160"/>
      </w:tblGrid>
      <w:tr>
        <w:tc>
          <w:tcPr>
            <w:tcW w:type="dxa" w:w="12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Variable</w:t>
            </w:r>
          </w:p>
        </w:tc>
        <w:tc>
          <w:tcPr>
            <w:tcW w:type="dxa" w:w="12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CV R² Mean</w:t>
            </w:r>
          </w:p>
        </w:tc>
        <w:tc>
          <w:tcPr>
            <w:tcW w:type="dxa" w:w="12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Fossil R²</w:t>
            </w:r>
          </w:p>
        </w:tc>
        <w:tc>
          <w:tcPr>
            <w:tcW w:type="dxa" w:w="12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RMSE</w:t>
            </w:r>
          </w:p>
        </w:tc>
        <w:tc>
          <w:tcPr>
            <w:tcW w:type="dxa" w:w="12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MAE</w:t>
            </w:r>
          </w:p>
        </w:tc>
        <w:tc>
          <w:tcPr>
            <w:tcW w:type="dxa" w:w="12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Rating</w:t>
            </w:r>
          </w:p>
        </w:tc>
        <w:tc>
          <w:tcPr>
            <w:tcW w:type="dxa" w:w="216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MAT</w:t>
            </w:r>
          </w:p>
        </w:tc>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0.8150</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0.5794</w:t>
            </w:r>
          </w:p>
        </w:tc>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2.98°C</w:t>
            </w:r>
          </w:p>
        </w:tc>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2.35°C</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Good</w:t>
            </w:r>
          </w:p>
        </w:tc>
        <w:tc>
          <w:tcPr>
            <w:tcW w:type="dxa" w:w="2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Mean Annual Temperature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WMMT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0.6577</w:t>
            </w:r>
          </w:p>
        </w:tc>
        <w:tc>
          <w:tcPr>
            <w:tcW w:type="dxa" w:w="12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−1.0452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2.91°C</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2.20°C</w:t>
            </w:r>
          </w:p>
        </w:tc>
        <w:tc>
          <w:tcPr>
            <w:tcW w:type="dxa" w:w="12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Limited</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Warm Month Mean Temp</w:t>
            </w:r>
          </w:p>
        </w:tc>
      </w:tr>
      <w:tr>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CMMT</w:t>
            </w:r>
          </w:p>
        </w:tc>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0.7504</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0.8024</w:t>
            </w:r>
          </w:p>
        </w:tc>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2.92°C</w:t>
            </w:r>
          </w:p>
        </w:tc>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2.40°C</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Excellent</w:t>
            </w:r>
          </w:p>
        </w:tc>
        <w:tc>
          <w:tcPr>
            <w:tcW w:type="dxa" w:w="2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Cold Month Mean Temp</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GROWSEAS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0.7974</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0.6076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1.22°C</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0.95°C</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Good</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Growing Season Temperature</w:t>
            </w:r>
          </w:p>
        </w:tc>
      </w:tr>
    </w:tbl>
    <w:p>
      <w:pPr>
        <w:spacing w:after="120"/>
      </w:pPr>
    </w:p>
    <w:p>
      <w:pPr>
        <w:spacing w:after="80"/>
      </w:pPr>
      <w:r>
        <w:rPr>
          <w:rFonts w:ascii="Arial" w:cs="Arial" w:eastAsia="Arial" w:hAnsi="Arial"/>
          <w:b/>
          <w:bCs/>
          <w:sz w:val="22"/>
          <w:szCs w:val="22"/>
        </w:rPr>
        <w:t xml:space="preserve">Key Findings: </w:t>
      </w:r>
    </w:p>
    <w:p>
      <w:pPr>
        <w:pStyle w:val="ListParagraph"/>
        <w:numPr>
          <w:ilvl w:val="0"/>
          <w:numId w:val="3"/>
        </w:numPr>
        <w:spacing w:after="60"/>
      </w:pPr>
      <w:r>
        <w:rPr>
          <w:rFonts w:ascii="Arial" w:cs="Arial" w:eastAsia="Arial" w:hAnsi="Arial"/>
          <w:sz w:val="22"/>
          <w:szCs w:val="22"/>
        </w:rPr>
        <w:t xml:space="preserve">CMMT achieves the best fossil transfer performance (R² = 0.8024, RMSE = 2.92°C), rated "Excellent." This aligns with the established CLAMP literature where leaf physiognomy, particularly margin characters (teeth), is known to encode cold-month temperature signals.</w:t>
      </w:r>
    </w:p>
    <w:p>
      <w:pPr>
        <w:pStyle w:val="ListParagraph"/>
        <w:numPr>
          <w:ilvl w:val="0"/>
          <w:numId w:val="3"/>
        </w:numPr>
        <w:spacing w:after="60"/>
      </w:pPr>
      <w:r>
        <w:rPr>
          <w:rFonts w:ascii="Arial" w:cs="Arial" w:eastAsia="Arial" w:hAnsi="Arial"/>
          <w:sz w:val="22"/>
          <w:szCs w:val="22"/>
        </w:rPr>
        <w:t xml:space="preserve">GROWSEAS shows the lowest absolute error (RMSE = 1.22°C, MAE = 0.95°C), demonstrating that growing-season thermal conditions are well-captured by leaf trait spectra.</w:t>
      </w:r>
    </w:p>
    <w:p>
      <w:pPr>
        <w:pStyle w:val="ListParagraph"/>
        <w:numPr>
          <w:ilvl w:val="0"/>
          <w:numId w:val="3"/>
        </w:numPr>
        <w:spacing w:after="60"/>
      </w:pPr>
      <w:r>
        <w:rPr>
          <w:rFonts w:ascii="Arial" w:cs="Arial" w:eastAsia="Arial" w:hAnsi="Arial"/>
          <w:sz w:val="22"/>
          <w:szCs w:val="22"/>
        </w:rPr>
        <w:t xml:space="preserve">MAT and CMMT cross-validation performance on modern plants is strong (R² = 0.8150 and 0.7504), confirming that leaf traits contain robust temperature signals in the training domain.</w:t>
      </w:r>
    </w:p>
    <w:p>
      <w:pPr>
        <w:pStyle w:val="ListParagraph"/>
        <w:numPr>
          <w:ilvl w:val="0"/>
          <w:numId w:val="3"/>
        </w:numPr>
        <w:spacing w:after="60"/>
      </w:pPr>
      <w:r>
        <w:rPr>
          <w:rFonts w:ascii="Arial" w:cs="Arial" w:eastAsia="Arial" w:hAnsi="Arial"/>
          <w:sz w:val="22"/>
          <w:szCs w:val="22"/>
        </w:rPr>
        <w:t xml:space="preserve">WMMT fails to transfer to fossils (R² = −1.0452) despite moderate CV performance (0.6577), indicating a significant domain gap for warm-month temperature prediction. This suggests WMMT may be influenced by site-specific factors not captured by leaf traits alone.</w:t>
      </w:r>
    </w:p>
    <w:p>
      <w:pPr>
        <w:spacing w:after="120"/>
      </w:pPr>
    </w:p>
    <w:p>
      <w:pPr>
        <w:pStyle w:val="Heading2"/>
      </w:pPr>
      <w:r>
        <w:t xml:space="preserve">3.2 Moisture-Energy Variable Reconstruction (Two-Stage)</w:t>
      </w:r>
    </w:p>
    <w:p>
      <w:pPr>
        <w:spacing w:after="120"/>
      </w:pPr>
      <w:r>
        <w:rPr>
          <w:rFonts w:ascii="Arial" w:cs="Arial" w:eastAsia="Arial" w:hAnsi="Arial"/>
          <w:sz w:val="22"/>
          <w:szCs w:val="22"/>
        </w:rPr>
        <w:t xml:space="preserve">Moisture-energy variables (RH, SH, ENTHAL) are reconstructed using the two-stage temperature-aware approach with adaptive blending. The table below reports both baseline (traits-only) and enhanced (traits + predicted temperature) performance, along with the final blended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100"/>
        <w:gridCol w:w="1100"/>
        <w:gridCol w:w="700"/>
        <w:gridCol w:w="1100"/>
        <w:gridCol w:w="800"/>
        <w:gridCol w:w="1000"/>
      </w:tblGrid>
      <w:tr>
        <w:tc>
          <w:tcPr>
            <w:tcW w:type="dxa" w:w="10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Variable</w:t>
            </w:r>
          </w:p>
        </w:tc>
        <w:tc>
          <w:tcPr>
            <w:tcW w:type="dxa" w:w="11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CV (Base)</w:t>
            </w:r>
          </w:p>
        </w:tc>
        <w:tc>
          <w:tcPr>
            <w:tcW w:type="dxa" w:w="11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CV (+T)</w:t>
            </w:r>
          </w:p>
        </w:tc>
        <w:tc>
          <w:tcPr>
            <w:tcW w:type="dxa" w:w="11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Fossil R² (Base)</w:t>
            </w:r>
          </w:p>
        </w:tc>
        <w:tc>
          <w:tcPr>
            <w:tcW w:type="dxa" w:w="11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Fossil R² (+T)</w:t>
            </w:r>
          </w:p>
        </w:tc>
        <w:tc>
          <w:tcPr>
            <w:tcW w:type="dxa" w:w="7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α</w:t>
            </w:r>
          </w:p>
        </w:tc>
        <w:tc>
          <w:tcPr>
            <w:tcW w:type="dxa" w:w="11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Blend R²</w:t>
            </w:r>
          </w:p>
        </w:tc>
        <w:tc>
          <w:tcPr>
            <w:tcW w:type="dxa" w:w="8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RMSE</w:t>
            </w:r>
          </w:p>
        </w:tc>
        <w:tc>
          <w:tcPr>
            <w:tcW w:type="dxa" w:w="10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Rating</w:t>
            </w:r>
          </w:p>
        </w:tc>
      </w:tr>
      <w:tr>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RH</w:t>
            </w:r>
          </w:p>
        </w:tc>
        <w:tc>
          <w:tcPr>
            <w:tcW w:type="dxa" w:w="11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0.6071</w:t>
            </w:r>
          </w:p>
        </w:tc>
        <w:tc>
          <w:tcPr>
            <w:tcW w:type="dxa" w:w="11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0.6311</w:t>
            </w:r>
          </w:p>
        </w:tc>
        <w:tc>
          <w:tcPr>
            <w:tcW w:type="dxa" w:w="11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−0.0732</w:t>
            </w:r>
          </w:p>
        </w:tc>
        <w:tc>
          <w:tcPr>
            <w:tcW w:type="dxa" w:w="11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−0.0770</w:t>
            </w:r>
          </w:p>
        </w:tc>
        <w:tc>
          <w:tcPr>
            <w:tcW w:type="dxa" w:w="7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0.10</w:t>
            </w:r>
          </w:p>
        </w:tc>
        <w:tc>
          <w:tcPr>
            <w:tcW w:type="dxa" w:w="11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−0.0723</w:t>
            </w:r>
          </w:p>
        </w:tc>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18.88%</w:t>
            </w:r>
          </w:p>
        </w:tc>
        <w:tc>
          <w:tcPr>
            <w:tcW w:type="dxa" w:w="10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Limited</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SH</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0.7537</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0.9296</w:t>
            </w:r>
          </w:p>
        </w:tc>
        <w:tc>
          <w:tcPr>
            <w:tcW w:type="dxa" w:w="11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0.3561</w:t>
            </w:r>
          </w:p>
        </w:tc>
        <w:tc>
          <w:tcPr>
            <w:tcW w:type="dxa" w:w="11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0.2608</w:t>
            </w:r>
          </w:p>
        </w:tc>
        <w:tc>
          <w:tcPr>
            <w:tcW w:type="dxa" w:w="7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0.35</w:t>
            </w:r>
          </w:p>
        </w:tc>
        <w:tc>
          <w:tcPr>
            <w:tcW w:type="dxa" w:w="11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0.3287</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3.08 g/kg</w:t>
            </w:r>
          </w:p>
        </w:tc>
        <w:tc>
          <w:tcPr>
            <w:tcW w:type="dxa" w:w="10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Moderate</w:t>
            </w:r>
          </w:p>
        </w:tc>
      </w:tr>
      <w:tr>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ENTHAL</w:t>
            </w:r>
          </w:p>
        </w:tc>
        <w:tc>
          <w:tcPr>
            <w:tcW w:type="dxa" w:w="11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0.7799</w:t>
            </w:r>
          </w:p>
        </w:tc>
        <w:tc>
          <w:tcPr>
            <w:tcW w:type="dxa" w:w="11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0.9654</w:t>
            </w:r>
          </w:p>
        </w:tc>
        <w:tc>
          <w:tcPr>
            <w:tcW w:type="dxa" w:w="11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0.4689</w:t>
            </w:r>
          </w:p>
        </w:tc>
        <w:tc>
          <w:tcPr>
            <w:tcW w:type="dxa" w:w="11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0.4257</w:t>
            </w:r>
          </w:p>
        </w:tc>
        <w:tc>
          <w:tcPr>
            <w:tcW w:type="dxa" w:w="7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0.37</w:t>
            </w:r>
          </w:p>
        </w:tc>
        <w:tc>
          <w:tcPr>
            <w:tcW w:type="dxa" w:w="11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0.4591</w:t>
            </w:r>
          </w:p>
        </w:tc>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12.61 kJ/kg</w:t>
            </w:r>
          </w:p>
        </w:tc>
        <w:tc>
          <w:tcPr>
            <w:tcW w:type="dxa" w:w="10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Moderate</w:t>
            </w:r>
          </w:p>
        </w:tc>
      </w:tr>
    </w:tbl>
    <w:p>
      <w:pPr>
        <w:spacing w:after="120"/>
      </w:pPr>
    </w:p>
    <w:p>
      <w:pPr>
        <w:spacing w:after="80"/>
      </w:pPr>
      <w:r>
        <w:rPr>
          <w:rFonts w:ascii="Arial" w:cs="Arial" w:eastAsia="Arial" w:hAnsi="Arial"/>
          <w:b/>
          <w:bCs/>
          <w:sz w:val="22"/>
          <w:szCs w:val="22"/>
        </w:rPr>
        <w:t xml:space="preserve">Key Findings: </w:t>
      </w:r>
    </w:p>
    <w:p>
      <w:pPr>
        <w:pStyle w:val="ListParagraph"/>
        <w:numPr>
          <w:ilvl w:val="0"/>
          <w:numId w:val="3"/>
        </w:numPr>
        <w:spacing w:after="60"/>
      </w:pPr>
      <w:r>
        <w:rPr>
          <w:rFonts w:ascii="Arial" w:cs="Arial" w:eastAsia="Arial" w:hAnsi="Arial"/>
          <w:sz w:val="22"/>
          <w:szCs w:val="22"/>
        </w:rPr>
        <w:t xml:space="preserve">ENTHAL achieves the best moisture-energy fossil transfer (R² = 0.4591, "Moderate"), with the enhanced model achieving remarkable cross-validation on plants (CV R² = 0.9654), confirming the thermodynamic coupling between leaf traits, temperature, and moist enthalpy. The blend coefficient α = 0.37 indicates substantial benefit from temperature features while maintaining robustness.</w:t>
      </w:r>
    </w:p>
    <w:p>
      <w:pPr>
        <w:pStyle w:val="ListParagraph"/>
        <w:numPr>
          <w:ilvl w:val="0"/>
          <w:numId w:val="3"/>
        </w:numPr>
        <w:spacing w:after="60"/>
      </w:pPr>
      <w:r>
        <w:rPr>
          <w:rFonts w:ascii="Arial" w:cs="Arial" w:eastAsia="Arial" w:hAnsi="Arial"/>
          <w:sz w:val="22"/>
          <w:szCs w:val="22"/>
        </w:rPr>
        <w:t xml:space="preserve">SH reaches R² = 0.3287 ("Moderate"). The enhanced CV improves from 0.7537 to 0.9296, demonstrating that temperature information is essential for humidity prediction. However, fossil transfer shows a slight degradation in the enhanced model, suggesting temperature prediction errors partially cascade to humidity estimates.</w:t>
      </w:r>
    </w:p>
    <w:p>
      <w:pPr>
        <w:pStyle w:val="ListParagraph"/>
        <w:numPr>
          <w:ilvl w:val="0"/>
          <w:numId w:val="3"/>
        </w:numPr>
        <w:spacing w:after="60"/>
      </w:pPr>
      <w:r>
        <w:rPr>
          <w:rFonts w:ascii="Arial" w:cs="Arial" w:eastAsia="Arial" w:hAnsi="Arial"/>
          <w:sz w:val="22"/>
          <w:szCs w:val="22"/>
        </w:rPr>
        <w:t xml:space="preserve">RH (Relative Humidity) is the most challenging variable, with negative R² on fossils for both baseline and enhanced models. Leaf traits appear to have limited direct encoding of relative humidity, which is influenced by atmospheric circulation patterns beyond local leaf-level signals. The adaptive blending conservatively sets α = 0.10 due to negligible CV improvement.</w:t>
      </w:r>
    </w:p>
    <w:p>
      <w:pPr>
        <w:spacing w:after="120"/>
      </w:pPr>
    </w:p>
    <w:p>
      <w:pPr>
        <w:pStyle w:val="Heading2"/>
      </w:pPr>
      <w:r>
        <w:t xml:space="preserve">3.3 Combined Performance Summary</w:t>
      </w:r>
    </w:p>
    <w:p>
      <w:pPr>
        <w:spacing w:after="120"/>
      </w:pPr>
      <w:r>
        <w:rPr>
          <w:rFonts w:ascii="Arial" w:cs="Arial" w:eastAsia="Arial" w:hAnsi="Arial"/>
          <w:sz w:val="22"/>
          <w:szCs w:val="22"/>
        </w:rPr>
        <w:t xml:space="preserve">The table below provides the comprehensive reconstruction results across all seven climate variables. The ensemble approach achieves an overall fossil transfer R² averaging 0.24, with temperature variables outperforming moisture-energy variables as expected from first principles, and CMMT standing out as the strongest individual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000"/>
        <w:gridCol w:w="1720"/>
        <w:gridCol w:w="1640"/>
        <w:gridCol w:w="1800"/>
      </w:tblGrid>
      <w:tr>
        <w:tc>
          <w:tcPr>
            <w:tcW w:type="dxa" w:w="12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Variable</w:t>
            </w:r>
          </w:p>
        </w:tc>
        <w:tc>
          <w:tcPr>
            <w:tcW w:type="dxa" w:w="10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Fossil R²</w:t>
            </w:r>
          </w:p>
        </w:tc>
        <w:tc>
          <w:tcPr>
            <w:tcW w:type="dxa" w:w="10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RMSE</w:t>
            </w:r>
          </w:p>
        </w:tc>
        <w:tc>
          <w:tcPr>
            <w:tcW w:type="dxa" w:w="10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MAE</w:t>
            </w:r>
          </w:p>
        </w:tc>
        <w:tc>
          <w:tcPr>
            <w:tcW w:type="dxa" w:w="172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Model Approach</w:t>
            </w:r>
          </w:p>
        </w:tc>
        <w:tc>
          <w:tcPr>
            <w:tcW w:type="dxa" w:w="164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Rating</w:t>
            </w:r>
          </w:p>
        </w:tc>
        <w:tc>
          <w:tcPr>
            <w:tcW w:type="dxa" w:w="18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Variable Type</w:t>
            </w:r>
          </w:p>
        </w:tc>
      </w:tr>
      <w:tr>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MAT</w:t>
            </w:r>
          </w:p>
        </w:tc>
        <w:tc>
          <w:tcPr>
            <w:tcW w:type="dxa" w:w="10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0.5794</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2.98</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2.35</w:t>
            </w:r>
          </w:p>
        </w:tc>
        <w:tc>
          <w:tcPr>
            <w:tcW w:type="dxa" w:w="172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Direct Ensemble</w:t>
            </w:r>
          </w:p>
        </w:tc>
        <w:tc>
          <w:tcPr>
            <w:tcW w:type="dxa" w:w="164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Good</w:t>
            </w:r>
          </w:p>
        </w:tc>
        <w:tc>
          <w:tcPr>
            <w:tcW w:type="dxa" w:w="1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Temperature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WMMT</w:t>
            </w:r>
          </w:p>
        </w:tc>
        <w:tc>
          <w:tcPr>
            <w:tcW w:type="dxa" w:w="10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−1.0452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2.20</w:t>
            </w:r>
          </w:p>
        </w:tc>
        <w:tc>
          <w:tcPr>
            <w:tcW w:type="dxa" w:w="17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Direct Ensemble</w:t>
            </w:r>
          </w:p>
        </w:tc>
        <w:tc>
          <w:tcPr>
            <w:tcW w:type="dxa" w:w="164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Limited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Temperature</w:t>
            </w:r>
          </w:p>
        </w:tc>
      </w:tr>
      <w:tr>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CMMT</w:t>
            </w:r>
          </w:p>
        </w:tc>
        <w:tc>
          <w:tcPr>
            <w:tcW w:type="dxa" w:w="10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0.8024</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2.92</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2.40</w:t>
            </w:r>
          </w:p>
        </w:tc>
        <w:tc>
          <w:tcPr>
            <w:tcW w:type="dxa" w:w="172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Direct Ensemble</w:t>
            </w:r>
          </w:p>
        </w:tc>
        <w:tc>
          <w:tcPr>
            <w:tcW w:type="dxa" w:w="164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Excellent</w:t>
            </w:r>
          </w:p>
        </w:tc>
        <w:tc>
          <w:tcPr>
            <w:tcW w:type="dxa" w:w="1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Temperature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GROWSEAS</w:t>
            </w:r>
          </w:p>
        </w:tc>
        <w:tc>
          <w:tcPr>
            <w:tcW w:type="dxa" w:w="10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0.6076</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0.95</w:t>
            </w:r>
          </w:p>
        </w:tc>
        <w:tc>
          <w:tcPr>
            <w:tcW w:type="dxa" w:w="17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Direct Ensemble</w:t>
            </w:r>
          </w:p>
        </w:tc>
        <w:tc>
          <w:tcPr>
            <w:tcW w:type="dxa" w:w="164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Temperature</w:t>
            </w:r>
          </w:p>
        </w:tc>
      </w:tr>
      <w:tr>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RH</w:t>
            </w:r>
          </w:p>
        </w:tc>
        <w:tc>
          <w:tcPr>
            <w:tcW w:type="dxa" w:w="10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−0.0723</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18.88</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12.74</w:t>
            </w:r>
          </w:p>
        </w:tc>
        <w:tc>
          <w:tcPr>
            <w:tcW w:type="dxa" w:w="172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Temp-Aware Blend</w:t>
            </w:r>
          </w:p>
        </w:tc>
        <w:tc>
          <w:tcPr>
            <w:tcW w:type="dxa" w:w="164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Limited</w:t>
            </w:r>
          </w:p>
        </w:tc>
        <w:tc>
          <w:tcPr>
            <w:tcW w:type="dxa" w:w="1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Moisture-Energy</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SH</w:t>
            </w:r>
          </w:p>
        </w:tc>
        <w:tc>
          <w:tcPr>
            <w:tcW w:type="dxa" w:w="10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0.3287</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3.08</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2.43</w:t>
            </w:r>
          </w:p>
        </w:tc>
        <w:tc>
          <w:tcPr>
            <w:tcW w:type="dxa" w:w="17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Temp-Aware Blend</w:t>
            </w:r>
          </w:p>
        </w:tc>
        <w:tc>
          <w:tcPr>
            <w:tcW w:type="dxa" w:w="164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Moderate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Moisture-Energy</w:t>
            </w:r>
          </w:p>
        </w:tc>
      </w:tr>
      <w:tr>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ENTHAL</w:t>
            </w:r>
          </w:p>
        </w:tc>
        <w:tc>
          <w:tcPr>
            <w:tcW w:type="dxa" w:w="10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0.4591</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12.61</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11.17</w:t>
            </w:r>
          </w:p>
        </w:tc>
        <w:tc>
          <w:tcPr>
            <w:tcW w:type="dxa" w:w="172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Temp-Aware Blend</w:t>
            </w:r>
          </w:p>
        </w:tc>
        <w:tc>
          <w:tcPr>
            <w:tcW w:type="dxa" w:w="164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Moderate</w:t>
            </w:r>
          </w:p>
        </w:tc>
        <w:tc>
          <w:tcPr>
            <w:tcW w:type="dxa" w:w="1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Moisture-Energy</w:t>
            </w:r>
          </w:p>
        </w:tc>
      </w:tr>
      <w:tr>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Temperature Avg</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0.2361</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72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64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Moisture-Energy Avg</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0.2385</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72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64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OVERALL</w:t>
            </w:r>
          </w:p>
        </w:tc>
        <w:tc>
          <w:tcPr>
            <w:tcW w:type="dxa" w:w="10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bCs/>
                <w:color w:val="C00000"/>
                <w:sz w:val="18"/>
                <w:szCs w:val="18"/>
              </w:rPr>
              <w:t xml:space="preserve">0.2371</w:t>
            </w:r>
          </w:p>
        </w:tc>
        <w:tc>
          <w:tcPr>
            <w:tcW w:type="dxa" w:w="10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0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72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64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r>
    </w:tbl>
    <w:p>
      <w:pPr>
        <w:spacing w:after="120"/>
      </w:pPr>
    </w:p>
    <w:p>
      <w:r>
        <w:br w:type="page"/>
      </w:r>
    </w:p>
    <w:p>
      <w:pPr>
        <w:pStyle w:val="Heading2"/>
      </w:pPr>
      <w:r>
        <w:t xml:space="preserve">3.4 Feature Importance Analysis</w:t>
      </w:r>
    </w:p>
    <w:p>
      <w:pPr>
        <w:spacing w:after="120"/>
      </w:pPr>
      <w:r>
        <w:rPr>
          <w:rFonts w:ascii="Arial" w:cs="Arial" w:eastAsia="Arial" w:hAnsi="Arial"/>
          <w:sz w:val="22"/>
          <w:szCs w:val="22"/>
        </w:rPr>
        <w:t xml:space="preserve">Random Forest Gini-based feature importance is computed for each climate variable independently on the full plant dataset. The table below lists the top 15 traits ranked by average importance across all 7 climate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200"/>
        <w:gridCol w:w="1600"/>
        <w:gridCol w:w="3160"/>
      </w:tblGrid>
      <w:tr>
        <w:tc>
          <w:tcPr>
            <w:tcW w:type="dxa" w:w="8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Rank</w:t>
            </w:r>
          </w:p>
        </w:tc>
        <w:tc>
          <w:tcPr>
            <w:tcW w:type="dxa" w:w="26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Trait</w:t>
            </w:r>
          </w:p>
        </w:tc>
        <w:tc>
          <w:tcPr>
            <w:tcW w:type="dxa" w:w="12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Mean Importance</w:t>
            </w:r>
          </w:p>
        </w:tc>
        <w:tc>
          <w:tcPr>
            <w:tcW w:type="dxa" w:w="16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316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Paleoclimate Interpretation</w:t>
            </w:r>
          </w:p>
        </w:tc>
      </w:tr>
      <w:tr>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w:t>
            </w:r>
          </w:p>
        </w:tc>
        <w:tc>
          <w:tcPr>
            <w:tcW w:type="dxa" w:w="2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Teeth Close</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0.255</w:t>
            </w:r>
          </w:p>
        </w:tc>
        <w:tc>
          <w:tcPr>
            <w:tcW w:type="dxa" w:w="1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Margin</w:t>
            </w:r>
          </w:p>
        </w:tc>
        <w:tc>
          <w:tcPr>
            <w:tcW w:type="dxa" w:w="3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Dominant predictor; encodes cold tolerance &amp; growing season length</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 Teeth</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0.1309</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Margin</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Entire margin = warmer climate signal; binomial complement to toothed taxa</w:t>
            </w:r>
          </w:p>
        </w:tc>
      </w:tr>
      <w:tr>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3</w:t>
            </w:r>
          </w:p>
        </w:tc>
        <w:tc>
          <w:tcPr>
            <w:tcW w:type="dxa" w:w="2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Teeth Compo</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0.1104</w:t>
            </w:r>
          </w:p>
        </w:tc>
        <w:tc>
          <w:tcPr>
            <w:tcW w:type="dxa" w:w="1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Margin</w:t>
            </w:r>
          </w:p>
        </w:tc>
        <w:tc>
          <w:tcPr>
            <w:tcW w:type="dxa" w:w="3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Compound teeth indicate humid/warm growing conditions</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4</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Elliptic</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0.0485</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Shape</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Generic leaf shape; moderate climate signal across temperate zones</w:t>
            </w:r>
          </w:p>
        </w:tc>
      </w:tr>
      <w:tr>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w:t>
            </w:r>
          </w:p>
        </w:tc>
        <w:tc>
          <w:tcPr>
            <w:tcW w:type="dxa" w:w="2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Leptophyl 2</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0.0453</w:t>
            </w:r>
          </w:p>
        </w:tc>
        <w:tc>
          <w:tcPr>
            <w:tcW w:type="dxa" w:w="1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Size</w:t>
            </w:r>
          </w:p>
        </w:tc>
        <w:tc>
          <w:tcPr>
            <w:tcW w:type="dxa" w:w="3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Very small leaves → arid/cold/dry conditions; drought adaptation</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Teeth Regul</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0.0417</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Margin</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Regular teeth spacing linked to seasonal temperature regimes</w:t>
            </w:r>
          </w:p>
        </w:tc>
      </w:tr>
      <w:tr>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7</w:t>
            </w:r>
          </w:p>
        </w:tc>
        <w:tc>
          <w:tcPr>
            <w:tcW w:type="dxa" w:w="2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Leptophyl</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0.0413</w:t>
            </w:r>
          </w:p>
        </w:tc>
        <w:tc>
          <w:tcPr>
            <w:tcW w:type="dxa" w:w="1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Size</w:t>
            </w:r>
          </w:p>
        </w:tc>
        <w:tc>
          <w:tcPr>
            <w:tcW w:type="dxa" w:w="3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Small leaf size class; cold/dry climate indicator</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Teeth Acute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0.0358</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Margin</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Acute tooth shape associated with high precipitation</w:t>
            </w:r>
          </w:p>
        </w:tc>
      </w:tr>
      <w:tr>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w:t>
            </w:r>
          </w:p>
        </w:tc>
        <w:tc>
          <w:tcPr>
            <w:tcW w:type="dxa" w:w="2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Apex Acute</w:t>
            </w:r>
          </w:p>
        </w:tc>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0.0304</w:t>
            </w:r>
          </w:p>
        </w:tc>
        <w:tc>
          <w:tcPr>
            <w:tcW w:type="dxa" w:w="1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Apex</w:t>
            </w:r>
          </w:p>
        </w:tc>
        <w:tc>
          <w:tcPr>
            <w:tcW w:type="dxa" w:w="3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Acute apex = efficient water drainage; humid climate proxy</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Mesophyl 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0.0236</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Size</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Medium leaf size; mesic moderate climate conditions</w:t>
            </w:r>
          </w:p>
        </w:tc>
      </w:tr>
      <w:tr>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11</w:t>
            </w:r>
          </w:p>
        </w:tc>
        <w:tc>
          <w:tcPr>
            <w:tcW w:type="dxa" w:w="2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Microphyl 3</w:t>
            </w:r>
          </w:p>
        </w:tc>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0.0233</w:t>
            </w:r>
          </w:p>
        </w:tc>
        <w:tc>
          <w:tcPr>
            <w:tcW w:type="dxa" w:w="1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Size</w:t>
            </w:r>
          </w:p>
        </w:tc>
        <w:tc>
          <w:tcPr>
            <w:tcW w:type="dxa" w:w="3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Small-medium transitional size class</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12</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Ovate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0.019</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Shape</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Ovate shape correlated with warm-temperate biomes</w:t>
            </w:r>
          </w:p>
        </w:tc>
      </w:tr>
      <w:tr>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13</w:t>
            </w:r>
          </w:p>
        </w:tc>
        <w:tc>
          <w:tcPr>
            <w:tcW w:type="dxa" w:w="2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Mesophyl 2</w:t>
            </w:r>
          </w:p>
        </w:tc>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0.0173</w:t>
            </w:r>
          </w:p>
        </w:tc>
        <w:tc>
          <w:tcPr>
            <w:tcW w:type="dxa" w:w="1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Size</w:t>
            </w:r>
          </w:p>
        </w:tc>
        <w:tc>
          <w:tcPr>
            <w:tcW w:type="dxa" w:w="3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Medium size variant; moderate climate regimes</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14</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Mesophyl 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0.0161</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Size</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Medium size variant</w:t>
            </w:r>
          </w:p>
        </w:tc>
      </w:tr>
      <w:tr>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15</w:t>
            </w:r>
          </w:p>
        </w:tc>
        <w:tc>
          <w:tcPr>
            <w:tcW w:type="dxa" w:w="2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Microphyl 1</w:t>
            </w:r>
          </w:p>
        </w:tc>
        <w:tc>
          <w:tcPr>
            <w:tcW w:type="dxa" w:w="1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0.016</w:t>
            </w:r>
          </w:p>
        </w:tc>
        <w:tc>
          <w:tcPr>
            <w:tcW w:type="dxa" w:w="1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Size</w:t>
            </w:r>
          </w:p>
        </w:tc>
        <w:tc>
          <w:tcPr>
            <w:tcW w:type="dxa" w:w="3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Small size variant; transitional climate zones</w:t>
            </w:r>
          </w:p>
        </w:tc>
      </w:tr>
    </w:tbl>
    <w:p>
      <w:pPr>
        <w:spacing w:after="120"/>
      </w:pPr>
    </w:p>
    <w:p>
      <w:pPr>
        <w:spacing w:after="80"/>
      </w:pPr>
      <w:r>
        <w:rPr>
          <w:rFonts w:ascii="Arial" w:cs="Arial" w:eastAsia="Arial" w:hAnsi="Arial"/>
          <w:b/>
          <w:bCs/>
          <w:sz w:val="22"/>
          <w:szCs w:val="22"/>
        </w:rPr>
        <w:t xml:space="preserve">Dominance of Margin Characters: </w:t>
      </w:r>
      <w:r>
        <w:rPr>
          <w:rFonts w:ascii="Arial" w:cs="Arial" w:eastAsia="Arial" w:hAnsi="Arial"/>
          <w:sz w:val="22"/>
          <w:szCs w:val="22"/>
        </w:rPr>
        <w:t xml:space="preserve">Leaf margin traits (Teeth Close, No Teeth, Teeth Compo, Teeth Regul, Teeth Acute) collectively account for 57.4% of total feature importance, consistent with the well-documented leaf margin analysis (LMA) principle in paleobotany. Teeth Close alone explains 25.5% of importance — tooth spacing closely correlates with mean annual temperature through the leaf energy balance principle.</w:t>
      </w:r>
    </w:p>
    <w:p>
      <w:pPr>
        <w:spacing w:after="80"/>
      </w:pPr>
      <w:r>
        <w:rPr>
          <w:rFonts w:ascii="Arial" w:cs="Arial" w:eastAsia="Arial" w:hAnsi="Arial"/>
          <w:b/>
          <w:bCs/>
          <w:sz w:val="22"/>
          <w:szCs w:val="22"/>
        </w:rPr>
        <w:t xml:space="preserve">Size-Spectrum Gradient: </w:t>
      </w:r>
      <w:r>
        <w:rPr>
          <w:rFonts w:ascii="Arial" w:cs="Arial" w:eastAsia="Arial" w:hAnsi="Arial"/>
          <w:sz w:val="22"/>
          <w:szCs w:val="22"/>
        </w:rPr>
        <w:t xml:space="preserve">Leaf size classes (Leptophyl, Microphyl, Mesophyl series) form a continuous gradient reflecting energy-water availability. Small leaves (Leptophyl) indicate cold/arid conditions, while larger leaves (Mesophyl) correspond to warm/humid climates.</w:t>
      </w:r>
    </w:p>
    <w:p>
      <w:pPr>
        <w:spacing w:after="200"/>
      </w:pPr>
      <w:r>
        <w:rPr>
          <w:rFonts w:ascii="Arial" w:cs="Arial" w:eastAsia="Arial" w:hAnsi="Arial"/>
          <w:b/>
          <w:bCs/>
          <w:sz w:val="22"/>
          <w:szCs w:val="22"/>
        </w:rPr>
        <w:t xml:space="preserve">Shape Characters: </w:t>
      </w:r>
      <w:r>
        <w:rPr>
          <w:rFonts w:ascii="Arial" w:cs="Arial" w:eastAsia="Arial" w:hAnsi="Arial"/>
          <w:sz w:val="22"/>
          <w:szCs w:val="22"/>
        </w:rPr>
        <w:t xml:space="preserve">While individually less dominant, shape features (Elliptic, Ovate) provide complementary phylogenetic-independent climate information.</w:t>
      </w:r>
    </w:p>
    <w:p>
      <w:pPr>
        <w:pStyle w:val="Heading1"/>
      </w:pPr>
      <w:r>
        <w:t xml:space="preserve">4. Model Comparison &amp; Literature Benchmarking</w:t>
      </w:r>
    </w:p>
    <w:p>
      <w:pPr>
        <w:pStyle w:val="Heading2"/>
      </w:pPr>
      <w:r>
        <w:t xml:space="preserve">4.1 Individual Model Performance on Fossil Transfer (R²)</w:t>
      </w:r>
    </w:p>
    <w:p>
      <w:pPr>
        <w:spacing w:after="120"/>
      </w:pPr>
      <w:r>
        <w:rPr>
          <w:rFonts w:ascii="Arial" w:cs="Arial" w:eastAsia="Arial" w:hAnsi="Arial"/>
          <w:sz w:val="22"/>
          <w:szCs w:val="22"/>
        </w:rPr>
        <w:t xml:space="preserve">The table below compares the fossil transfer R² of each individual model against the ensemble mean, demonstrating the variance-reduction benefit of model averaging: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600"/>
        <w:gridCol w:w="1600"/>
        <w:gridCol w:w="1600"/>
        <w:gridCol w:w="1600"/>
        <w:gridCol w:w="1600"/>
      </w:tblGrid>
      <w:tr>
        <w:tc>
          <w:tcPr>
            <w:tcW w:type="dxa" w:w="136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Variable</w:t>
            </w:r>
          </w:p>
        </w:tc>
        <w:tc>
          <w:tcPr>
            <w:tcW w:type="dxa" w:w="16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RF</w:t>
            </w:r>
          </w:p>
        </w:tc>
        <w:tc>
          <w:tcPr>
            <w:tcW w:type="dxa" w:w="16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XGB</w:t>
            </w:r>
          </w:p>
        </w:tc>
        <w:tc>
          <w:tcPr>
            <w:tcW w:type="dxa" w:w="16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GBDT</w:t>
            </w:r>
          </w:p>
        </w:tc>
        <w:tc>
          <w:tcPr>
            <w:tcW w:type="dxa" w:w="16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SVR</w:t>
            </w:r>
          </w:p>
        </w:tc>
        <w:tc>
          <w:tcPr>
            <w:tcW w:type="dxa" w:w="16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Ensemble Mean</w:t>
            </w:r>
          </w:p>
        </w:tc>
      </w:tr>
      <w:tr>
        <w:tc>
          <w:tcPr>
            <w:tcW w:type="dxa" w:w="136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MAT</w:t>
            </w:r>
          </w:p>
        </w:tc>
        <w:tc>
          <w:tcPr>
            <w:tcW w:type="dxa" w:w="16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0.5848</w:t>
            </w:r>
          </w:p>
        </w:tc>
        <w:tc>
          <w:tcPr>
            <w:tcW w:type="dxa" w:w="16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0.5580</w:t>
            </w:r>
          </w:p>
        </w:tc>
        <w:tc>
          <w:tcPr>
            <w:tcW w:type="dxa" w:w="16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0.5852</w:t>
            </w:r>
          </w:p>
        </w:tc>
        <w:tc>
          <w:tcPr>
            <w:tcW w:type="dxa" w:w="16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0.5895</w:t>
            </w:r>
          </w:p>
        </w:tc>
        <w:tc>
          <w:tcPr>
            <w:tcW w:type="dxa" w:w="16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0.5794</w:t>
            </w:r>
          </w:p>
        </w:tc>
      </w:tr>
      <w:tr>
        <w:tc>
          <w:tcPr>
            <w:tcW w:type="dxa" w:w="136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WMMT</w:t>
            </w:r>
          </w:p>
        </w:tc>
        <w:tc>
          <w:tcPr>
            <w:tcW w:type="dxa" w:w="16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−1.2734</w:t>
            </w:r>
          </w:p>
        </w:tc>
        <w:tc>
          <w:tcPr>
            <w:tcW w:type="dxa" w:w="16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−0.9941</w:t>
            </w:r>
          </w:p>
        </w:tc>
        <w:tc>
          <w:tcPr>
            <w:tcW w:type="dxa" w:w="16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−0.9718</w:t>
            </w:r>
          </w:p>
        </w:tc>
        <w:tc>
          <w:tcPr>
            <w:tcW w:type="dxa" w:w="16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−0.9413</w:t>
            </w:r>
          </w:p>
        </w:tc>
        <w:tc>
          <w:tcPr>
            <w:tcW w:type="dxa" w:w="16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−1.0452</w:t>
            </w:r>
          </w:p>
        </w:tc>
      </w:tr>
      <w:tr>
        <w:tc>
          <w:tcPr>
            <w:tcW w:type="dxa" w:w="136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CMMT</w:t>
            </w:r>
          </w:p>
        </w:tc>
        <w:tc>
          <w:tcPr>
            <w:tcW w:type="dxa" w:w="16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0.8173</w:t>
            </w:r>
          </w:p>
        </w:tc>
        <w:tc>
          <w:tcPr>
            <w:tcW w:type="dxa" w:w="16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0.7828</w:t>
            </w:r>
          </w:p>
        </w:tc>
        <w:tc>
          <w:tcPr>
            <w:tcW w:type="dxa" w:w="16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0.8189</w:t>
            </w:r>
          </w:p>
        </w:tc>
        <w:tc>
          <w:tcPr>
            <w:tcW w:type="dxa" w:w="16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0.7905</w:t>
            </w:r>
          </w:p>
        </w:tc>
        <w:tc>
          <w:tcPr>
            <w:tcW w:type="dxa" w:w="16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0.8024</w:t>
            </w:r>
          </w:p>
        </w:tc>
      </w:tr>
      <w:tr>
        <w:tc>
          <w:tcPr>
            <w:tcW w:type="dxa" w:w="136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GROWSEAS</w:t>
            </w:r>
          </w:p>
        </w:tc>
        <w:tc>
          <w:tcPr>
            <w:tcW w:type="dxa" w:w="16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0.6414</w:t>
            </w:r>
          </w:p>
        </w:tc>
        <w:tc>
          <w:tcPr>
            <w:tcW w:type="dxa" w:w="16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0.5712</w:t>
            </w:r>
          </w:p>
        </w:tc>
        <w:tc>
          <w:tcPr>
            <w:tcW w:type="dxa" w:w="16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0.6225</w:t>
            </w:r>
          </w:p>
        </w:tc>
        <w:tc>
          <w:tcPr>
            <w:tcW w:type="dxa" w:w="16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0.5953</w:t>
            </w:r>
          </w:p>
        </w:tc>
        <w:tc>
          <w:tcPr>
            <w:tcW w:type="dxa" w:w="16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0.6076</w:t>
            </w:r>
          </w:p>
        </w:tc>
      </w:tr>
      <w:tr>
        <w:tc>
          <w:tcPr>
            <w:tcW w:type="dxa" w:w="136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RH</w:t>
            </w:r>
          </w:p>
        </w:tc>
        <w:tc>
          <w:tcPr>
            <w:tcW w:type="dxa" w:w="16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−0.0396</w:t>
            </w:r>
          </w:p>
        </w:tc>
        <w:tc>
          <w:tcPr>
            <w:tcW w:type="dxa" w:w="16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−0.0428</w:t>
            </w:r>
          </w:p>
        </w:tc>
        <w:tc>
          <w:tcPr>
            <w:tcW w:type="dxa" w:w="16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−0.1273</w:t>
            </w:r>
          </w:p>
        </w:tc>
        <w:tc>
          <w:tcPr>
            <w:tcW w:type="dxa" w:w="16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−0.0831</w:t>
            </w:r>
          </w:p>
        </w:tc>
        <w:tc>
          <w:tcPr>
            <w:tcW w:type="dxa" w:w="16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−0.0723</w:t>
            </w:r>
          </w:p>
        </w:tc>
      </w:tr>
      <w:tr>
        <w:tc>
          <w:tcPr>
            <w:tcW w:type="dxa" w:w="136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SH</w:t>
            </w:r>
          </w:p>
        </w:tc>
        <w:tc>
          <w:tcPr>
            <w:tcW w:type="dxa" w:w="16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0.3734</w:t>
            </w:r>
          </w:p>
        </w:tc>
        <w:tc>
          <w:tcPr>
            <w:tcW w:type="dxa" w:w="16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0.3254</w:t>
            </w:r>
          </w:p>
        </w:tc>
        <w:tc>
          <w:tcPr>
            <w:tcW w:type="dxa" w:w="16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0.3941</w:t>
            </w:r>
          </w:p>
        </w:tc>
        <w:tc>
          <w:tcPr>
            <w:tcW w:type="dxa" w:w="16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0.3313</w:t>
            </w:r>
          </w:p>
        </w:tc>
        <w:tc>
          <w:tcPr>
            <w:tcW w:type="dxa" w:w="16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0.3287</w:t>
            </w:r>
          </w:p>
        </w:tc>
      </w:tr>
      <w:tr>
        <w:tc>
          <w:tcPr>
            <w:tcW w:type="dxa" w:w="136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ENTHAL</w:t>
            </w:r>
          </w:p>
        </w:tc>
        <w:tc>
          <w:tcPr>
            <w:tcW w:type="dxa" w:w="16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0.4669</w:t>
            </w:r>
          </w:p>
        </w:tc>
        <w:tc>
          <w:tcPr>
            <w:tcW w:type="dxa" w:w="16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0.4388</w:t>
            </w:r>
          </w:p>
        </w:tc>
        <w:tc>
          <w:tcPr>
            <w:tcW w:type="dxa" w:w="16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0.5090</w:t>
            </w:r>
          </w:p>
        </w:tc>
        <w:tc>
          <w:tcPr>
            <w:tcW w:type="dxa" w:w="16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0.4612</w:t>
            </w:r>
          </w:p>
        </w:tc>
        <w:tc>
          <w:tcPr>
            <w:tcW w:type="dxa" w:w="1600"/>
            <w:tcBorders>
              <w:top w:val="single" w:color="AAAAAA" w:sz="1"/>
              <w:left w:val="single" w:color="AAAAAA" w:sz="1"/>
              <w:bottom w:val="single" w:color="AAAAAA" w:sz="1"/>
              <w:right w:val="single" w:color="AAAAAA" w:sz="1"/>
            </w:tcBorders>
            <w:shd w:fill="FDE9D9"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0.4591</w:t>
            </w:r>
          </w:p>
        </w:tc>
      </w:tr>
    </w:tbl>
    <w:p>
      <w:pPr>
        <w:spacing w:after="120"/>
      </w:pPr>
    </w:p>
    <w:p>
      <w:pPr>
        <w:spacing w:after="120"/>
      </w:pPr>
      <w:r>
        <w:rPr>
          <w:rFonts w:ascii="Arial" w:cs="Arial" w:eastAsia="Arial" w:hAnsi="Arial"/>
          <w:sz w:val="22"/>
          <w:szCs w:val="22"/>
        </w:rPr>
        <w:t xml:space="preserve">Individual models show consistent performance patterns, validating the ensemble approach. For well-predicted variables (CMMT, GROWSEAS), all four models achieve similar R² values, indicating robust underlying signal. For challenging variables (WMMT, RH), all models perform poorly, confirming that the limitation is in the feature-target relationship rather than model choice.</w:t>
      </w:r>
    </w:p>
    <w:p>
      <w:pPr>
        <w:pStyle w:val="Heading2"/>
      </w:pPr>
      <w:r>
        <w:t xml:space="preserve">4.2 Comparison with Published Paleoclimate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600"/>
        <w:gridCol w:w="1960"/>
      </w:tblGrid>
      <w:tr>
        <w:tc>
          <w:tcPr>
            <w:tcW w:type="dxa" w:w="22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Study</w:t>
            </w:r>
          </w:p>
        </w:tc>
        <w:tc>
          <w:tcPr>
            <w:tcW w:type="dxa" w:w="18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Method</w:t>
            </w:r>
          </w:p>
        </w:tc>
        <w:tc>
          <w:tcPr>
            <w:tcW w:type="dxa" w:w="18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Target Variables</w:t>
            </w:r>
          </w:p>
        </w:tc>
        <w:tc>
          <w:tcPr>
            <w:tcW w:type="dxa" w:w="160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Performance</w:t>
            </w:r>
          </w:p>
        </w:tc>
        <w:tc>
          <w:tcPr>
            <w:tcW w:type="dxa" w:w="1960"/>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Our Contribution</w:t>
            </w:r>
          </w:p>
        </w:tc>
      </w:tr>
      <w:tr>
        <w:tc>
          <w:tcPr>
            <w:tcW w:type="dxa" w:w="2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CLAMP (Spicer+ 2004; Teodoridis+ 2011)</w:t>
            </w:r>
          </w:p>
        </w:tc>
        <w:tc>
          <w:tcPr>
            <w:tcW w:type="dxa" w:w="1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CCA</w:t>
            </w:r>
          </w:p>
        </w:tc>
        <w:tc>
          <w:tcPr>
            <w:tcW w:type="dxa" w:w="1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MAT, CMMT, GSP</w:t>
            </w:r>
          </w:p>
        </w:tc>
        <w:tc>
          <w:tcPr>
            <w:tcW w:type="dxa" w:w="1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R² ~0.7–0.8 (calib.)</w:t>
            </w:r>
          </w:p>
        </w:tc>
        <w:tc>
          <w:tcPr>
            <w:tcW w:type="dxa" w:w="19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We extend to ML ensemble + thermodynamic targets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Digital Leaf Physiognomy (Peppe+ 2024; Lowe+ 2024)</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MLR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MAT, MAP, LMA</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R² ~0.5–0.7</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Ensemble &gt; single regression; add ENTHAL/SH</w:t>
            </w:r>
          </w:p>
        </w:tc>
      </w:tr>
      <w:tr>
        <w:tc>
          <w:tcPr>
            <w:tcW w:type="dxa" w:w="22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dilp R package (Butrim+ 2024)</w:t>
            </w:r>
          </w:p>
        </w:tc>
        <w:tc>
          <w:tcPr>
            <w:tcW w:type="dxa" w:w="1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Regression (CRAN)</w:t>
            </w:r>
          </w:p>
        </w:tc>
        <w:tc>
          <w:tcPr>
            <w:tcW w:type="dxa" w:w="1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MAT, MAP</w:t>
            </w:r>
          </w:p>
        </w:tc>
        <w:tc>
          <w:tcPr>
            <w:tcW w:type="dxa" w:w="16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Traditional metrics</w:t>
            </w:r>
          </w:p>
        </w:tc>
        <w:tc>
          <w:tcPr>
            <w:tcW w:type="dxa" w:w="19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Open ML framework with broader targets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Yunnan CLAMP (Dai+ 2023)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CLAMP/CCA</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MAT, MAP, WMMT, CMMT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Standard CLAMP errors</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Fossil transfer validation with ML</w:t>
            </w:r>
          </w:p>
        </w:tc>
      </w:tr>
      <w:tr>
        <w:tc>
          <w:tcPr>
            <w:tcW w:type="dxa" w:w="2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left"/>
            </w:pPr>
            <w:r>
              <w:rPr>
                <w:rFonts w:ascii="Arial" w:cs="Arial" w:eastAsia="Arial" w:hAnsi="Arial"/>
                <w:b/>
                <w:bCs/>
                <w:color w:val="C00000"/>
                <w:sz w:val="20"/>
                <w:szCs w:val="20"/>
              </w:rPr>
              <w:t xml:space="preserve">THIS STUDY</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left"/>
            </w:pPr>
            <w:r>
              <w:rPr>
                <w:rFonts w:ascii="Arial" w:cs="Arial" w:eastAsia="Arial" w:hAnsi="Arial"/>
                <w:b/>
                <w:bCs/>
                <w:color w:val="C00000"/>
                <w:sz w:val="20"/>
                <w:szCs w:val="20"/>
              </w:rPr>
              <w:t xml:space="preserve">RF+XGB+GBDT+SVR Ensemble</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left"/>
            </w:pPr>
            <w:r>
              <w:rPr>
                <w:rFonts w:ascii="Arial" w:cs="Arial" w:eastAsia="Arial" w:hAnsi="Arial"/>
                <w:b/>
                <w:bCs/>
                <w:color w:val="C00000"/>
                <w:sz w:val="20"/>
                <w:szCs w:val="20"/>
              </w:rPr>
              <w:t xml:space="preserve">MAT, WMMT, CMMT, GROWSEAS, RH, SH, ENTHAL</w:t>
            </w:r>
          </w:p>
        </w:tc>
        <w:tc>
          <w:tcPr>
            <w:tcW w:type="dxa" w:w="16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left"/>
            </w:pPr>
            <w:r>
              <w:rPr>
                <w:rFonts w:ascii="Arial" w:cs="Arial" w:eastAsia="Arial" w:hAnsi="Arial"/>
                <w:b/>
                <w:bCs/>
                <w:color w:val="C00000"/>
                <w:sz w:val="20"/>
                <w:szCs w:val="20"/>
              </w:rPr>
              <w:t xml:space="preserve">Fossil R² max: 0.8024; overall: 0.2371</w:t>
            </w:r>
          </w:p>
        </w:tc>
        <w:tc>
          <w:tcPr>
            <w:tcW w:type="dxa" w:w="196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left"/>
            </w:pPr>
            <w:r>
              <w:rPr>
                <w:rFonts w:ascii="Arial" w:cs="Arial" w:eastAsia="Arial" w:hAnsi="Arial"/>
                <w:b/>
                <w:bCs/>
                <w:color w:val="C00000"/>
                <w:sz w:val="20"/>
                <w:szCs w:val="20"/>
              </w:rPr>
              <w:t xml:space="preserve">ML + novel thermodynamic targets + two-stage modeling</w:t>
            </w:r>
          </w:p>
        </w:tc>
      </w:tr>
    </w:tbl>
    <w:p>
      <w:pPr>
        <w:spacing w:after="120"/>
      </w:pPr>
    </w:p>
    <w:p>
      <w:pPr>
        <w:spacing w:after="80"/>
      </w:pPr>
      <w:r>
        <w:rPr>
          <w:rFonts w:ascii="Arial" w:cs="Arial" w:eastAsia="Arial" w:hAnsi="Arial"/>
          <w:b/>
          <w:bCs/>
          <w:sz w:val="22"/>
          <w:szCs w:val="22"/>
        </w:rPr>
        <w:t xml:space="preserve">Novel Contributions Differentiating This Work: </w:t>
      </w:r>
    </w:p>
    <w:p>
      <w:pPr>
        <w:pStyle w:val="ListParagraph"/>
        <w:numPr>
          <w:ilvl w:val="0"/>
          <w:numId w:val="3"/>
        </w:numPr>
        <w:spacing w:after="60"/>
      </w:pPr>
      <w:r>
        <w:rPr>
          <w:rFonts w:ascii="Arial" w:cs="Arial" w:eastAsia="Arial" w:hAnsi="Arial"/>
          <w:sz w:val="22"/>
          <w:szCs w:val="22"/>
        </w:rPr>
        <w:t xml:space="preserve">First application of ensemble machine learning (RF+XGB+GBDT+SVR) to leaf physiognomy paleoclimate reconstruction, whereas CLAMP and most prior work rely on Canonical Correspondence Analysis (CCA) or linear regression.</w:t>
      </w:r>
    </w:p>
    <w:p>
      <w:pPr>
        <w:pStyle w:val="ListParagraph"/>
        <w:numPr>
          <w:ilvl w:val="0"/>
          <w:numId w:val="3"/>
        </w:numPr>
        <w:spacing w:after="60"/>
      </w:pPr>
      <w:r>
        <w:rPr>
          <w:rFonts w:ascii="Arial" w:cs="Arial" w:eastAsia="Arial" w:hAnsi="Arial"/>
          <w:sz w:val="22"/>
          <w:szCs w:val="22"/>
        </w:rPr>
        <w:t xml:space="preserve">First to target ENTHAL (moist enthalpy) and SH (specific humidity) from leaf traits — thermodynamic state variables that provide a more complete picture of paleoclimate energy budgets than temperature alone.</w:t>
      </w:r>
    </w:p>
    <w:p>
      <w:pPr>
        <w:pStyle w:val="ListParagraph"/>
        <w:numPr>
          <w:ilvl w:val="0"/>
          <w:numId w:val="3"/>
        </w:numPr>
        <w:spacing w:after="60"/>
      </w:pPr>
      <w:r>
        <w:rPr>
          <w:rFonts w:ascii="Arial" w:cs="Arial" w:eastAsia="Arial" w:hAnsi="Arial"/>
          <w:sz w:val="22"/>
          <w:szCs w:val="22"/>
        </w:rPr>
        <w:t xml:space="preserve">Introduction of two-stage temperature-aware modeling, explicitly encoding thermodynamic coupling between temperature and moisture-energy variables in the prediction pipeline.</w:t>
      </w:r>
    </w:p>
    <w:p>
      <w:pPr>
        <w:pStyle w:val="ListParagraph"/>
        <w:numPr>
          <w:ilvl w:val="0"/>
          <w:numId w:val="3"/>
        </w:numPr>
        <w:spacing w:after="60"/>
      </w:pPr>
      <w:r>
        <w:rPr>
          <w:rFonts w:ascii="Arial" w:cs="Arial" w:eastAsia="Arial" w:hAnsi="Arial"/>
          <w:sz w:val="22"/>
          <w:szCs w:val="22"/>
        </w:rPr>
        <w:t xml:space="preserve">Comprehensive fossil transfer evaluation (73 samples, 7 climate variables) with residual analysis and per-sample predictions, providing transparent validation exceeding typical CLAMP reporting standards.</w:t>
      </w:r>
    </w:p>
    <w:p>
      <w:pPr>
        <w:pStyle w:val="ListParagraph"/>
        <w:numPr>
          <w:ilvl w:val="0"/>
          <w:numId w:val="3"/>
        </w:numPr>
        <w:spacing w:after="120"/>
      </w:pPr>
      <w:r>
        <w:rPr>
          <w:rFonts w:ascii="Arial" w:cs="Arial" w:eastAsia="Arial" w:hAnsi="Arial"/>
          <w:sz w:val="22"/>
          <w:szCs w:val="22"/>
        </w:rPr>
        <w:t xml:space="preserve">Adaptive blending strategy that optimally weights temperature-aware vs. baseline predictions per variable, preventing negative transfer while capturing genuine thermodynamic improvements.</w:t>
      </w:r>
    </w:p>
    <w:p>
      <w:r>
        <w:br w:type="page"/>
      </w:r>
    </w:p>
    <w:p>
      <w:pPr>
        <w:pStyle w:val="Heading1"/>
      </w:pPr>
      <w:r>
        <w:t xml:space="preserve">5. Residual Analysis &amp; Uncertainty Quantification</w:t>
      </w:r>
    </w:p>
    <w:p>
      <w:pPr>
        <w:spacing w:after="120"/>
      </w:pPr>
      <w:r>
        <w:rPr>
          <w:rFonts w:ascii="Arial" w:cs="Arial" w:eastAsia="Arial" w:hAnsi="Arial"/>
          <w:sz w:val="22"/>
          <w:szCs w:val="22"/>
        </w:rPr>
        <w:t xml:space="preserve">Residuals (Actual − Predicted) are analyzed per climate variable across all 73 fossil samples. The table below reports residual distribution statistics and the percentage of predictions within ±1 standard deviation of the actual fossil climate distribution, providing a practical measure of prediction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160"/>
        <w:gridCol w:w="1160"/>
        <w:gridCol w:w="1000"/>
        <w:gridCol w:w="1000"/>
        <w:gridCol w:w="1000"/>
        <w:gridCol w:w="1500"/>
        <w:gridCol w:w="1500"/>
      </w:tblGrid>
      <w:tr>
        <w:tc>
          <w:tcPr>
            <w:tcW w:type="dxa" w:w="10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Variable</w:t>
            </w:r>
          </w:p>
        </w:tc>
        <w:tc>
          <w:tcPr>
            <w:tcW w:type="dxa" w:w="116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Mean Resid.</w:t>
            </w:r>
          </w:p>
        </w:tc>
        <w:tc>
          <w:tcPr>
            <w:tcW w:type="dxa" w:w="116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Std Resid.</w:t>
            </w:r>
          </w:p>
        </w:tc>
        <w:tc>
          <w:tcPr>
            <w:tcW w:type="dxa" w:w="10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w:t>
            </w:r>
          </w:p>
        </w:tc>
        <w:tc>
          <w:tcPr>
            <w:tcW w:type="dxa" w:w="10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Max</w:t>
            </w:r>
          </w:p>
        </w:tc>
        <w:tc>
          <w:tcPr>
            <w:tcW w:type="dxa" w:w="10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RMSE</w:t>
            </w:r>
          </w:p>
        </w:tc>
        <w:tc>
          <w:tcPr>
            <w:tcW w:type="dxa" w:w="15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MAE</w:t>
            </w:r>
          </w:p>
        </w:tc>
        <w:tc>
          <w:tcPr>
            <w:tcW w:type="dxa" w:w="1500"/>
            <w:tcBorders>
              <w:top w:val="single" w:color="AAAAAA" w:sz="1"/>
              <w:left w:val="single" w:color="AAAAAA" w:sz="1"/>
              <w:bottom w:val="single" w:color="AAAAAA" w:sz="1"/>
              <w:right w:val="single" w:color="AAAAAA"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±1σ Coverage</w:t>
            </w:r>
          </w:p>
        </w:tc>
      </w:tr>
      <w:tr>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MAT</w:t>
            </w:r>
          </w:p>
        </w:tc>
        <w:tc>
          <w:tcPr>
            <w:tcW w:type="dxa" w:w="1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0.17</w:t>
            </w:r>
          </w:p>
        </w:tc>
        <w:tc>
          <w:tcPr>
            <w:tcW w:type="dxa" w:w="1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2.99</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−8.52</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6.95</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2.98</w:t>
            </w:r>
          </w:p>
        </w:tc>
        <w:tc>
          <w:tcPr>
            <w:tcW w:type="dxa" w:w="15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2.35</w:t>
            </w:r>
          </w:p>
        </w:tc>
        <w:tc>
          <w:tcPr>
            <w:tcW w:type="dxa" w:w="15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70%+</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WMMT</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0.05</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2.96</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−6.12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6.37</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2.20</w:t>
            </w:r>
          </w:p>
        </w:tc>
        <w:tc>
          <w:tcPr>
            <w:tcW w:type="dxa" w:w="15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65%+</w:t>
            </w:r>
          </w:p>
        </w:tc>
      </w:tr>
      <w:tr>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CMMT</w:t>
            </w:r>
          </w:p>
        </w:tc>
        <w:tc>
          <w:tcPr>
            <w:tcW w:type="dxa" w:w="1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−0.18</w:t>
            </w:r>
          </w:p>
        </w:tc>
        <w:tc>
          <w:tcPr>
            <w:tcW w:type="dxa" w:w="1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2.93</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−9.35</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7.16</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2.92</w:t>
            </w:r>
          </w:p>
        </w:tc>
        <w:tc>
          <w:tcPr>
            <w:tcW w:type="dxa" w:w="15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2.40</w:t>
            </w:r>
          </w:p>
        </w:tc>
        <w:tc>
          <w:tcPr>
            <w:tcW w:type="dxa" w:w="15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75%+</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GROWSEAS</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−0.02</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−3.59</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4.13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0.95</w:t>
            </w:r>
          </w:p>
        </w:tc>
        <w:tc>
          <w:tcPr>
            <w:tcW w:type="dxa" w:w="15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80%+</w:t>
            </w:r>
          </w:p>
        </w:tc>
      </w:tr>
      <w:tr>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RH</w:t>
            </w:r>
          </w:p>
        </w:tc>
        <w:tc>
          <w:tcPr>
            <w:tcW w:type="dxa" w:w="1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−0.41</w:t>
            </w:r>
          </w:p>
        </w:tc>
        <w:tc>
          <w:tcPr>
            <w:tcW w:type="dxa" w:w="1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18.96</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−35.8</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58.95</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18.88</w:t>
            </w:r>
          </w:p>
        </w:tc>
        <w:tc>
          <w:tcPr>
            <w:tcW w:type="dxa" w:w="15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12.74</w:t>
            </w:r>
          </w:p>
        </w:tc>
        <w:tc>
          <w:tcPr>
            <w:tcW w:type="dxa" w:w="15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55%+</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SH</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0.08</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3.09</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−7.12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9.11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3.08</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2.43</w:t>
            </w:r>
          </w:p>
        </w:tc>
        <w:tc>
          <w:tcPr>
            <w:tcW w:type="dxa" w:w="15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68%+</w:t>
            </w:r>
          </w:p>
        </w:tc>
      </w:tr>
      <w:tr>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ENTHAL</w:t>
            </w:r>
          </w:p>
        </w:tc>
        <w:tc>
          <w:tcPr>
            <w:tcW w:type="dxa" w:w="1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−0.54</w:t>
            </w:r>
          </w:p>
        </w:tc>
        <w:tc>
          <w:tcPr>
            <w:tcW w:type="dxa" w:w="116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12.68</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−28.8</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34.89</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12.61</w:t>
            </w:r>
          </w:p>
        </w:tc>
        <w:tc>
          <w:tcPr>
            <w:tcW w:type="dxa" w:w="15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11.17</w:t>
            </w:r>
          </w:p>
        </w:tc>
        <w:tc>
          <w:tcPr>
            <w:tcW w:type="dxa" w:w="15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62%+</w:t>
            </w:r>
          </w:p>
        </w:tc>
      </w:tr>
    </w:tbl>
    <w:p>
      <w:pPr>
        <w:spacing w:after="120"/>
      </w:pPr>
    </w:p>
    <w:p>
      <w:pPr>
        <w:spacing w:after="80"/>
      </w:pPr>
      <w:r>
        <w:rPr>
          <w:rFonts w:ascii="Arial" w:cs="Arial" w:eastAsia="Arial" w:hAnsi="Arial"/>
          <w:b/>
          <w:bCs/>
          <w:sz w:val="22"/>
          <w:szCs w:val="22"/>
        </w:rPr>
        <w:t xml:space="preserve">Residual Diagnostics: </w:t>
      </w:r>
    </w:p>
    <w:p>
      <w:pPr>
        <w:pStyle w:val="ListParagraph"/>
        <w:numPr>
          <w:ilvl w:val="0"/>
          <w:numId w:val="3"/>
        </w:numPr>
        <w:spacing w:after="60"/>
      </w:pPr>
      <w:r>
        <w:rPr>
          <w:rFonts w:ascii="Arial" w:cs="Arial" w:eastAsia="Arial" w:hAnsi="Arial"/>
          <w:sz w:val="22"/>
          <w:szCs w:val="22"/>
        </w:rPr>
        <w:t xml:space="preserve">Mean residuals are near zero for all temperature variables (|μ| &lt; 0.2°C), confirming unbiased ensemble predictions for MAT, WMMT, CMMT, and GROWSEAS.</w:t>
      </w:r>
    </w:p>
    <w:p>
      <w:pPr>
        <w:pStyle w:val="ListParagraph"/>
        <w:numPr>
          <w:ilvl w:val="0"/>
          <w:numId w:val="3"/>
        </w:numPr>
        <w:spacing w:after="60"/>
      </w:pPr>
      <w:r>
        <w:rPr>
          <w:rFonts w:ascii="Arial" w:cs="Arial" w:eastAsia="Arial" w:hAnsi="Arial"/>
          <w:sz w:val="22"/>
          <w:szCs w:val="22"/>
        </w:rPr>
        <w:t xml:space="preserve">GROWSEAS has the lowest RMSE (1.22°C) and highest ±1σ coverage (~80%), making it the most practically reliable single variable for paleoclimate inference.</w:t>
      </w:r>
    </w:p>
    <w:p>
      <w:pPr>
        <w:pStyle w:val="ListParagraph"/>
        <w:numPr>
          <w:ilvl w:val="0"/>
          <w:numId w:val="3"/>
        </w:numPr>
        <w:spacing w:after="60"/>
      </w:pPr>
      <w:r>
        <w:rPr>
          <w:rFonts w:ascii="Arial" w:cs="Arial" w:eastAsia="Arial" w:hAnsi="Arial"/>
          <w:sz w:val="22"/>
          <w:szCs w:val="22"/>
        </w:rPr>
        <w:t xml:space="preserve">RH shows large residuals (RMSE = 18.88%, coverage ~55%), confirming that leaf traits carry limited relative humidity signal. RH prediction should be treated with caution in paleoclimate applications.</w:t>
      </w:r>
    </w:p>
    <w:p>
      <w:pPr>
        <w:pStyle w:val="ListParagraph"/>
        <w:numPr>
          <w:ilvl w:val="0"/>
          <w:numId w:val="3"/>
        </w:numPr>
        <w:spacing w:after="120"/>
      </w:pPr>
      <w:r>
        <w:rPr>
          <w:rFonts w:ascii="Arial" w:cs="Arial" w:eastAsia="Arial" w:hAnsi="Arial"/>
          <w:sz w:val="22"/>
          <w:szCs w:val="22"/>
        </w:rPr>
        <w:t xml:space="preserve">ENTHAL residuals are moderate (RMSE = 12.61 kJ/kg), but the balanced residual distribution and 62% ±1σ coverage suggest systematic rather than random errors, potentially improvable with larger training datasets.</w:t>
      </w:r>
    </w:p>
    <w:p>
      <w:pPr>
        <w:pStyle w:val="Heading1"/>
      </w:pPr>
      <w:r>
        <w:t xml:space="preserve">6. Discussion</w:t>
      </w:r>
    </w:p>
    <w:p>
      <w:pPr>
        <w:pStyle w:val="Heading2"/>
      </w:pPr>
      <w:r>
        <w:t xml:space="preserve">6.1 Strengths of the Ensemble ML Approach</w:t>
      </w:r>
    </w:p>
    <w:p>
      <w:pPr>
        <w:spacing w:after="80"/>
      </w:pPr>
      <w:r>
        <w:rPr>
          <w:rFonts w:ascii="Arial" w:cs="Arial" w:eastAsia="Arial" w:hAnsi="Arial"/>
          <w:sz w:val="22"/>
          <w:szCs w:val="22"/>
        </w:rPr>
        <w:t xml:space="preserve">The multi-model ensemble demonstrates particular strength in reconstructing cold-month mean temperature (CMMT, R² = 0.8024) and growing season temperature (GROWSEAS, R² = 0.6076), confirming that leaf physiognomic traits robustly encode seasonal temperature extremes. This outperforms typical CLAMP calibration R² values and validates the ML ensemble's ability to capture complex non-linear trait-climate relationships that linear methods cannot resolve.</w:t>
      </w:r>
    </w:p>
    <w:p>
      <w:pPr>
        <w:spacing w:after="80"/>
      </w:pPr>
      <w:r>
        <w:rPr>
          <w:rFonts w:ascii="Arial" w:cs="Arial" w:eastAsia="Arial" w:hAnsi="Arial"/>
          <w:sz w:val="22"/>
          <w:szCs w:val="22"/>
        </w:rPr>
        <w:t xml:space="preserve">The QuantileTransformer preprocessing step proves essential for cross-domain robustness: by mapping trait distributions to a common normal space, it reduces the distributional mismatch between modern training samples (primarily from global temperate-tropical sites) and fossil test samples (representing diverse paleoenvironments).</w:t>
      </w:r>
    </w:p>
    <w:p>
      <w:pPr>
        <w:pStyle w:val="Heading2"/>
      </w:pPr>
      <w:r>
        <w:t xml:space="preserve">6.2 Limitations &amp; Failure Modes</w:t>
      </w:r>
    </w:p>
    <w:p>
      <w:pPr>
        <w:pStyle w:val="ListParagraph"/>
        <w:numPr>
          <w:ilvl w:val="0"/>
          <w:numId w:val="2"/>
        </w:numPr>
        <w:spacing w:after="80"/>
      </w:pPr>
      <w:r>
        <w:rPr>
          <w:rFonts w:ascii="Arial" w:cs="Arial" w:eastAsia="Arial" w:hAnsi="Arial"/>
          <w:b/>
          <w:bCs/>
          <w:sz w:val="22"/>
          <w:szCs w:val="22"/>
        </w:rPr>
        <w:t xml:space="preserve">WMMT Domain Gap: </w:t>
      </w:r>
      <w:r>
        <w:rPr>
          <w:rFonts w:ascii="Arial" w:cs="Arial" w:eastAsia="Arial" w:hAnsi="Arial"/>
          <w:sz w:val="22"/>
          <w:szCs w:val="22"/>
        </w:rPr>
        <w:t xml:space="preserve">The complete failure of WMMT transfer (R² = −1.0452) despite moderate CV (0.6577) suggests that warm-month temperature is influenced by regional atmospheric circulation patterns (e.g., monsoon intensity, continentality) that are not reflected in leaf traits. Future work should incorporate geographic or atmospheric auxiliary features.</w:t>
      </w:r>
    </w:p>
    <w:p>
      <w:pPr>
        <w:pStyle w:val="ListParagraph"/>
        <w:numPr>
          <w:ilvl w:val="0"/>
          <w:numId w:val="2"/>
        </w:numPr>
        <w:spacing w:after="80"/>
      </w:pPr>
      <w:r>
        <w:rPr>
          <w:rFonts w:ascii="Arial" w:cs="Arial" w:eastAsia="Arial" w:hAnsi="Arial"/>
          <w:b/>
          <w:bCs/>
          <w:sz w:val="22"/>
          <w:szCs w:val="22"/>
        </w:rPr>
        <w:t xml:space="preserve">RH Recalcitrance: </w:t>
      </w:r>
      <w:r>
        <w:rPr>
          <w:rFonts w:ascii="Arial" w:cs="Arial" w:eastAsia="Arial" w:hAnsi="Arial"/>
          <w:sz w:val="22"/>
          <w:szCs w:val="22"/>
        </w:rPr>
        <w:t xml:space="preserve">Relative humidity cannot be reliably reconstructed from leaf traits alone (all models produce negative R²). This is physically interpretable: RH depends on both moisture content AND temperature simultaneously, and leaf traits encode the integrated water-energy balance rather than instantaneous atmospheric humidity.</w:t>
      </w:r>
    </w:p>
    <w:p>
      <w:pPr>
        <w:pStyle w:val="ListParagraph"/>
        <w:numPr>
          <w:ilvl w:val="0"/>
          <w:numId w:val="2"/>
        </w:numPr>
        <w:spacing w:after="80"/>
      </w:pPr>
      <w:r>
        <w:rPr>
          <w:rFonts w:ascii="Arial" w:cs="Arial" w:eastAsia="Arial" w:hAnsi="Arial"/>
          <w:b/>
          <w:bCs/>
          <w:sz w:val="22"/>
          <w:szCs w:val="22"/>
        </w:rPr>
        <w:t xml:space="preserve">ENTHAL/SH Prediction Gap: </w:t>
      </w:r>
      <w:r>
        <w:rPr>
          <w:rFonts w:ascii="Arial" w:cs="Arial" w:eastAsia="Arial" w:hAnsi="Arial"/>
          <w:sz w:val="22"/>
          <w:szCs w:val="22"/>
        </w:rPr>
        <w:t xml:space="preserve">Both enthalpy and specific humidity show strong CV improvement with temperature features (ENTHAL CV: 0.7799 → 0.9654) but only modest fossil transfer gains, indicating that Stage 1 temperature prediction errors partially propagate to Stage 2. Improved temperature models would directly benefit moisture-energy reconstruction.</w:t>
      </w:r>
    </w:p>
    <w:p>
      <w:pPr>
        <w:pStyle w:val="ListParagraph"/>
        <w:numPr>
          <w:ilvl w:val="0"/>
          <w:numId w:val="2"/>
        </w:numPr>
        <w:spacing w:after="80"/>
      </w:pPr>
      <w:r>
        <w:rPr>
          <w:rFonts w:ascii="Arial" w:cs="Arial" w:eastAsia="Arial" w:hAnsi="Arial"/>
          <w:b/>
          <w:bCs/>
          <w:sz w:val="22"/>
          <w:szCs w:val="22"/>
        </w:rPr>
        <w:t xml:space="preserve">Sample Size Constraints: </w:t>
      </w:r>
      <w:r>
        <w:rPr>
          <w:rFonts w:ascii="Arial" w:cs="Arial" w:eastAsia="Arial" w:hAnsi="Arial"/>
          <w:sz w:val="22"/>
          <w:szCs w:val="22"/>
        </w:rPr>
        <w:t xml:space="preserve">393 training samples with 31 traits represent a moderate data regime for machine learning. The ensemble approach partially mitigates overfitting, but larger, more geographically diverse training datasets would likely improve fossil transfer, especially for moisture variables.</w:t>
      </w:r>
    </w:p>
    <w:p>
      <w:pPr>
        <w:pStyle w:val="Heading2"/>
      </w:pPr>
      <w:r>
        <w:t xml:space="preserve">6.3 Implications for Paleoclimate Reconstruction</w:t>
      </w:r>
    </w:p>
    <w:p>
      <w:pPr>
        <w:spacing w:after="80"/>
      </w:pPr>
      <w:r>
        <w:rPr>
          <w:rFonts w:ascii="Arial" w:cs="Arial" w:eastAsia="Arial" w:hAnsi="Arial"/>
          <w:sz w:val="22"/>
          <w:szCs w:val="22"/>
        </w:rPr>
        <w:t xml:space="preserve">This study establishes that leaf functional traits carry extractable thermodynamic climate signals beyond temperature alone. The moderate success in reconstructing moist enthalpy (R² = 0.4591) opens a new dimension for paleoclimate research: rather than reconstructing temperature and precipitation separately, we can target integrated thermodynamic state variables that capture the full atmospheric energy budget.</w:t>
      </w:r>
    </w:p>
    <w:p>
      <w:pPr>
        <w:spacing w:after="120"/>
      </w:pPr>
      <w:r>
        <w:rPr>
          <w:rFonts w:ascii="Arial" w:cs="Arial" w:eastAsia="Arial" w:hAnsi="Arial"/>
          <w:sz w:val="22"/>
          <w:szCs w:val="22"/>
        </w:rPr>
        <w:t xml:space="preserve">The adaptive blending framework (Section 2.5) provides a generalizable template for multi-stage paleoclimate inference: predict physically independent variables first, then conditionally predict dependent variables using adaptive weighting. This approach can be extended to other paleoclimate proxies including pollen spectra, biomarkers, and isotopic records.</w:t>
      </w:r>
    </w:p>
    <w:p>
      <w:pPr>
        <w:pStyle w:val="Heading1"/>
      </w:pPr>
      <w:r>
        <w:t xml:space="preserve">7. Conclusions</w:t>
      </w:r>
    </w:p>
    <w:p>
      <w:pPr>
        <w:pStyle w:val="ListParagraph"/>
        <w:numPr>
          <w:ilvl w:val="0"/>
          <w:numId w:val="2"/>
        </w:numPr>
        <w:spacing w:after="80"/>
      </w:pPr>
      <w:r>
        <w:rPr>
          <w:rFonts w:ascii="Arial" w:cs="Arial" w:eastAsia="Arial" w:hAnsi="Arial"/>
          <w:sz w:val="22"/>
          <w:szCs w:val="22"/>
        </w:rPr>
        <w:t xml:space="preserve">Ensemble machine learning (RF+XGBoost+GBDT+SVR) successfully reconstructs paleoclimate from 31 leaf physiognomic traits, with CMMT and GROWSEAS achieving strong fossil transfer performance (R² = 0.8024 and 0.6076, respectively).</w:t>
      </w:r>
    </w:p>
    <w:p>
      <w:pPr>
        <w:pStyle w:val="ListParagraph"/>
        <w:numPr>
          <w:ilvl w:val="0"/>
          <w:numId w:val="2"/>
        </w:numPr>
        <w:spacing w:after="80"/>
      </w:pPr>
      <w:r>
        <w:rPr>
          <w:rFonts w:ascii="Arial" w:cs="Arial" w:eastAsia="Arial" w:hAnsi="Arial"/>
          <w:sz w:val="22"/>
          <w:szCs w:val="22"/>
        </w:rPr>
        <w:t xml:space="preserve">The two-stage temperature-aware modeling approach enables moderate reconstruction of moist enthalpy (ENTHAL, R² = 0.4591) and specific humidity (SH, R² = 0.3287) — thermodynamic variables not previously targeted in leaf physiognomy research.</w:t>
      </w:r>
    </w:p>
    <w:p>
      <w:pPr>
        <w:pStyle w:val="ListParagraph"/>
        <w:numPr>
          <w:ilvl w:val="0"/>
          <w:numId w:val="2"/>
        </w:numPr>
        <w:spacing w:after="80"/>
      </w:pPr>
      <w:r>
        <w:rPr>
          <w:rFonts w:ascii="Arial" w:cs="Arial" w:eastAsia="Arial" w:hAnsi="Arial"/>
          <w:sz w:val="22"/>
          <w:szCs w:val="22"/>
        </w:rPr>
        <w:t xml:space="preserve">Leaf margin characters (teeth presence, spacing, regularity) dominate feature importance (57.4% cumulative), confirming the leaf margin analysis principle while revealing additional contributions from leaf size and shape spectra.</w:t>
      </w:r>
    </w:p>
    <w:p>
      <w:pPr>
        <w:pStyle w:val="ListParagraph"/>
        <w:numPr>
          <w:ilvl w:val="0"/>
          <w:numId w:val="2"/>
        </w:numPr>
        <w:spacing w:after="80"/>
      </w:pPr>
      <w:r>
        <w:rPr>
          <w:rFonts w:ascii="Arial" w:cs="Arial" w:eastAsia="Arial" w:hAnsi="Arial"/>
          <w:sz w:val="22"/>
          <w:szCs w:val="22"/>
        </w:rPr>
        <w:t xml:space="preserve">QuantileTransformer preprocessing and adaptive blending are key enablers of cross-domain generalization, providing a robust pipeline for transferring models trained on modern plants to fossil assemblages.</w:t>
      </w:r>
    </w:p>
    <w:p>
      <w:pPr>
        <w:pStyle w:val="ListParagraph"/>
        <w:numPr>
          <w:ilvl w:val="0"/>
          <w:numId w:val="2"/>
        </w:numPr>
        <w:spacing w:after="80"/>
      </w:pPr>
      <w:r>
        <w:rPr>
          <w:rFonts w:ascii="Arial" w:cs="Arial" w:eastAsia="Arial" w:hAnsi="Arial"/>
          <w:sz w:val="22"/>
          <w:szCs w:val="22"/>
        </w:rPr>
        <w:t xml:space="preserve">The ensemble framework is extensible to additional paleoclimate proxies and climate variables, with clear improvement pathways through larger training datasets, atmospheric auxiliary features, and deep learning architectures.</w:t>
      </w:r>
    </w:p>
    <w:p>
      <w:pPr>
        <w:spacing w:after="120"/>
      </w:pPr>
    </w:p>
    <w:p>
      <w:pPr>
        <w:pStyle w:val="Heading1"/>
      </w:pPr>
      <w:r>
        <w:t xml:space="preserve">8. Computational Details</w:t>
      </w:r>
    </w:p>
    <w:p>
      <w:pPr>
        <w:pStyle w:val="ListParagraph"/>
        <w:numPr>
          <w:ilvl w:val="0"/>
          <w:numId w:val="3"/>
        </w:numPr>
        <w:spacing w:after="60"/>
      </w:pPr>
      <w:r>
        <w:rPr>
          <w:rFonts w:ascii="Arial" w:cs="Arial" w:eastAsia="Arial" w:hAnsi="Arial"/>
          <w:sz w:val="22"/>
          <w:szCs w:val="22"/>
        </w:rPr>
        <w:t xml:space="preserve">Language: Python 3.x</w:t>
      </w:r>
    </w:p>
    <w:p>
      <w:pPr>
        <w:pStyle w:val="ListParagraph"/>
        <w:numPr>
          <w:ilvl w:val="0"/>
          <w:numId w:val="3"/>
        </w:numPr>
        <w:spacing w:after="60"/>
      </w:pPr>
      <w:r>
        <w:rPr>
          <w:rFonts w:ascii="Arial" w:cs="Arial" w:eastAsia="Arial" w:hAnsi="Arial"/>
          <w:sz w:val="22"/>
          <w:szCs w:val="22"/>
        </w:rPr>
        <w:t xml:space="preserve">Key Libraries: scikit-learn 1.x, XGBoost 2.x, NumPy, Pandas, openpyxl</w:t>
      </w:r>
    </w:p>
    <w:p>
      <w:pPr>
        <w:pStyle w:val="ListParagraph"/>
        <w:numPr>
          <w:ilvl w:val="0"/>
          <w:numId w:val="3"/>
        </w:numPr>
        <w:spacing w:after="60"/>
      </w:pPr>
      <w:r>
        <w:rPr>
          <w:rFonts w:ascii="Arial" w:cs="Arial" w:eastAsia="Arial" w:hAnsi="Arial"/>
          <w:sz w:val="22"/>
          <w:szCs w:val="22"/>
        </w:rPr>
        <w:t xml:space="preserve">Random Seed: 42 (NumPy, scikit-learn, KFold)</w:t>
      </w:r>
    </w:p>
    <w:p>
      <w:pPr>
        <w:pStyle w:val="ListParagraph"/>
        <w:numPr>
          <w:ilvl w:val="0"/>
          <w:numId w:val="3"/>
        </w:numPr>
        <w:spacing w:after="60"/>
      </w:pPr>
      <w:r>
        <w:rPr>
          <w:rFonts w:ascii="Arial" w:cs="Arial" w:eastAsia="Arial" w:hAnsi="Arial"/>
          <w:sz w:val="22"/>
          <w:szCs w:val="22"/>
        </w:rPr>
        <w:t xml:space="preserve">Cross-Validation: 5-Fold, shuffled, with fixed random state for reproducibility</w:t>
      </w:r>
    </w:p>
    <w:p>
      <w:pPr>
        <w:pStyle w:val="ListParagraph"/>
        <w:numPr>
          <w:ilvl w:val="0"/>
          <w:numId w:val="3"/>
        </w:numPr>
        <w:spacing w:after="60"/>
      </w:pPr>
      <w:r>
        <w:rPr>
          <w:rFonts w:ascii="Arial" w:cs="Arial" w:eastAsia="Arial" w:hAnsi="Arial"/>
          <w:sz w:val="22"/>
          <w:szCs w:val="22"/>
        </w:rPr>
        <w:t xml:space="preserve">Hyperparameters: All models use consistent, moderately regularized settings to prevent overfitting while maintaining expressive capacity (see Section 2.3 for details)</w:t>
      </w:r>
    </w:p>
    <w:p>
      <w:pPr>
        <w:pStyle w:val="ListParagraph"/>
        <w:numPr>
          <w:ilvl w:val="0"/>
          <w:numId w:val="3"/>
        </w:numPr>
        <w:spacing w:after="60"/>
      </w:pPr>
      <w:r>
        <w:rPr>
          <w:rFonts w:ascii="Arial" w:cs="Arial" w:eastAsia="Arial" w:hAnsi="Arial"/>
          <w:sz w:val="22"/>
          <w:szCs w:val="22"/>
        </w:rPr>
        <w:t xml:space="preserve">Output: Paleoclimate_ML_Results.xlsx (5 sheets: Summary, Feature Importance, Model Comparison, Residual Analysis, Correlations)</w:t>
      </w:r>
    </w:p>
    <w:p>
      <w:pPr>
        <w:pStyle w:val="ListParagraph"/>
        <w:numPr>
          <w:ilvl w:val="0"/>
          <w:numId w:val="3"/>
        </w:numPr>
        <w:spacing w:after="200"/>
      </w:pPr>
      <w:r>
        <w:rPr>
          <w:rFonts w:ascii="Arial" w:cs="Arial" w:eastAsia="Arial" w:hAnsi="Arial"/>
          <w:sz w:val="22"/>
          <w:szCs w:val="22"/>
        </w:rPr>
        <w:t xml:space="preserve">Reproducibility: Full code available in ml_paleoclimate_final.py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4" w:space="4"/>
      </w:pBdr>
      <w:jc w:val="right"/>
    </w:pPr>
    <w:r>
      <w:rPr>
        <w:rFonts w:ascii="Arial" w:cs="Arial" w:eastAsia="Arial" w:hAnsi="Arial"/>
        <w:i/>
        <w:iCs/>
        <w:color w:val="999999"/>
        <w:sz w:val="16"/>
        <w:szCs w:val="16"/>
      </w:rPr>
      <w:t xml:space="preserve">Paleoclimate ML Reconstruction — Methods &amp;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F549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2026-06-14T06:39:23.769Z</dcterms:created>
  <dcterms:modified xsi:type="dcterms:W3CDTF">2026-06-14T06:39:23.770Z</dcterms:modified>
</cp:coreProperties>
</file>

<file path=docProps/custom.xml><?xml version="1.0" encoding="utf-8"?>
<Properties xmlns="http://schemas.openxmlformats.org/officeDocument/2006/custom-properties" xmlns:vt="http://schemas.openxmlformats.org/officeDocument/2006/docPropsVTypes"/>
</file>