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A504B" w14:textId="77777777" w:rsidR="00FD2677" w:rsidRPr="00FD2677" w:rsidRDefault="00FD2677" w:rsidP="00FD2677">
      <w:pPr>
        <w:rPr>
          <w:b/>
          <w:bCs/>
          <w:iCs/>
        </w:rPr>
      </w:pPr>
      <w:r w:rsidRPr="00FD2677">
        <w:rPr>
          <w:i/>
          <w:noProof/>
          <w:lang w:bidi="en-US"/>
        </w:rPr>
        <w:drawing>
          <wp:inline distT="0" distB="0" distL="0" distR="0" wp14:anchorId="77A5299F" wp14:editId="34AF99F6">
            <wp:extent cx="6419988" cy="6564702"/>
            <wp:effectExtent l="0" t="0" r="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12"/>
                    <a:stretch/>
                  </pic:blipFill>
                  <pic:spPr bwMode="auto">
                    <a:xfrm>
                      <a:off x="0" y="0"/>
                      <a:ext cx="6431711" cy="65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3911" w14:textId="5C6B0095" w:rsidR="00FD2677" w:rsidRPr="00FD2677" w:rsidRDefault="00FD2677" w:rsidP="00512B8F">
      <w:pPr>
        <w:rPr>
          <w:rFonts w:ascii="Palatino Linotype" w:hAnsi="Palatino Linotype"/>
          <w:iCs/>
          <w:sz w:val="18"/>
          <w:szCs w:val="18"/>
        </w:rPr>
      </w:pPr>
      <w:r w:rsidRPr="00FD2677">
        <w:rPr>
          <w:rFonts w:ascii="Palatino Linotype" w:hAnsi="Palatino Linotype"/>
          <w:b/>
          <w:bCs/>
          <w:iCs/>
          <w:sz w:val="18"/>
          <w:szCs w:val="18"/>
        </w:rPr>
        <w:t>Figure S1</w:t>
      </w:r>
      <w:r w:rsidRPr="00FD2677">
        <w:rPr>
          <w:rFonts w:ascii="Palatino Linotype" w:hAnsi="Palatino Linotype"/>
          <w:iCs/>
          <w:sz w:val="18"/>
          <w:szCs w:val="18"/>
        </w:rPr>
        <w:t>. Shared DEGs between DOX-treated sgP130_siCTRL, sgP130_siP107, sgP130+sgRB1_siCTRL</w:t>
      </w:r>
      <w:r w:rsidR="00D30C46">
        <w:rPr>
          <w:rFonts w:ascii="Palatino Linotype" w:hAnsi="Palatino Linotype"/>
          <w:iCs/>
          <w:sz w:val="18"/>
          <w:szCs w:val="18"/>
        </w:rPr>
        <w:t>,</w:t>
      </w:r>
      <w:r w:rsidRPr="00FD2677">
        <w:rPr>
          <w:rFonts w:ascii="Palatino Linotype" w:hAnsi="Palatino Linotype"/>
          <w:iCs/>
          <w:sz w:val="18"/>
          <w:szCs w:val="18"/>
        </w:rPr>
        <w:t xml:space="preserve"> and sgP130+sgRB1_siP107 HFF cells compared to </w:t>
      </w:r>
      <w:r w:rsidR="00D30C46">
        <w:rPr>
          <w:rFonts w:ascii="Palatino Linotype" w:hAnsi="Palatino Linotype"/>
          <w:iCs/>
          <w:sz w:val="18"/>
          <w:szCs w:val="18"/>
        </w:rPr>
        <w:t xml:space="preserve">the </w:t>
      </w:r>
      <w:r w:rsidRPr="00FD2677">
        <w:rPr>
          <w:rFonts w:ascii="Palatino Linotype" w:hAnsi="Palatino Linotype"/>
          <w:iCs/>
          <w:sz w:val="18"/>
          <w:szCs w:val="18"/>
        </w:rPr>
        <w:t>control cells</w:t>
      </w:r>
      <w:r w:rsidRPr="00D30C46">
        <w:rPr>
          <w:rFonts w:ascii="Palatino Linotype" w:hAnsi="Palatino Linotype"/>
          <w:iCs/>
          <w:sz w:val="18"/>
          <w:szCs w:val="18"/>
        </w:rPr>
        <w:t>. (A) UpSet plots of up- and down-regulated lncRNA and protein-coding genes between DOX-treated cells compared to control cells. (B) Enriched</w:t>
      </w:r>
      <w:r w:rsidRPr="00FD2677">
        <w:rPr>
          <w:rFonts w:ascii="Palatino Linotype" w:hAnsi="Palatino Linotype"/>
          <w:iCs/>
          <w:sz w:val="18"/>
          <w:szCs w:val="18"/>
        </w:rPr>
        <w:t xml:space="preserve"> GO terms for the shared down-regulated protein-coding genes.</w:t>
      </w:r>
    </w:p>
    <w:p w14:paraId="294A21D7" w14:textId="77777777" w:rsidR="00FD2677" w:rsidRDefault="00FD2677" w:rsidP="00FD2677">
      <w:pPr>
        <w:ind w:firstLine="284"/>
        <w:rPr>
          <w:iCs/>
        </w:rPr>
      </w:pPr>
    </w:p>
    <w:p w14:paraId="187AA546" w14:textId="77777777" w:rsidR="00FD2677" w:rsidRDefault="00FD2677" w:rsidP="00FD2677">
      <w:pPr>
        <w:ind w:firstLine="284"/>
        <w:rPr>
          <w:iCs/>
        </w:rPr>
      </w:pPr>
    </w:p>
    <w:p w14:paraId="437C6B95" w14:textId="77777777" w:rsidR="00FD2677" w:rsidRDefault="00FD2677" w:rsidP="00FD2677">
      <w:pPr>
        <w:ind w:firstLine="284"/>
        <w:rPr>
          <w:iCs/>
        </w:rPr>
      </w:pPr>
    </w:p>
    <w:p w14:paraId="013D9E75" w14:textId="77777777" w:rsidR="00FD2677" w:rsidRDefault="00FD2677" w:rsidP="00FD2677">
      <w:pPr>
        <w:ind w:firstLine="284"/>
        <w:rPr>
          <w:iCs/>
        </w:rPr>
      </w:pPr>
    </w:p>
    <w:p w14:paraId="2B160D4F" w14:textId="77777777" w:rsidR="00FD2677" w:rsidRDefault="00FD2677" w:rsidP="00FD2677">
      <w:pPr>
        <w:pStyle w:val="MDPI31text"/>
        <w:ind w:left="0" w:firstLine="511"/>
        <w:jc w:val="left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6BA14A9F" wp14:editId="3E3B17A5">
            <wp:extent cx="5501506" cy="3944680"/>
            <wp:effectExtent l="0" t="0" r="444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9225" b="59906"/>
                    <a:stretch/>
                  </pic:blipFill>
                  <pic:spPr bwMode="auto">
                    <a:xfrm>
                      <a:off x="0" y="0"/>
                      <a:ext cx="5518247" cy="39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0E0E" w14:textId="3E3FD61D" w:rsidR="00FD2677" w:rsidRPr="00D30C46" w:rsidRDefault="00FD2677" w:rsidP="003B6018">
      <w:pPr>
        <w:rPr>
          <w:rFonts w:ascii="Palatino Linotype" w:hAnsi="Palatino Linotype"/>
          <w:iCs/>
        </w:rPr>
      </w:pPr>
      <w:r w:rsidRPr="00FD2677">
        <w:rPr>
          <w:rFonts w:ascii="Palatino Linotype" w:hAnsi="Palatino Linotype"/>
          <w:b/>
          <w:bCs/>
          <w:sz w:val="18"/>
        </w:rPr>
        <w:t xml:space="preserve">Figure S2. </w:t>
      </w:r>
      <w:bookmarkStart w:id="0" w:name="_Hlk136776813"/>
      <w:r w:rsidR="007B54F5" w:rsidRPr="007B54F5">
        <w:rPr>
          <w:rFonts w:ascii="Palatino Linotype" w:hAnsi="Palatino Linotype"/>
          <w:sz w:val="18"/>
        </w:rPr>
        <w:t xml:space="preserve">Co-expression analysis of the differentially expressed lncRNA genes </w:t>
      </w:r>
      <w:r w:rsidR="007B54F5">
        <w:rPr>
          <w:rFonts w:ascii="Palatino Linotype" w:hAnsi="Palatino Linotype"/>
          <w:sz w:val="18"/>
        </w:rPr>
        <w:t xml:space="preserve">and </w:t>
      </w:r>
      <w:r w:rsidR="007B54F5" w:rsidRPr="007B54F5">
        <w:rPr>
          <w:rFonts w:ascii="Palatino Linotype" w:hAnsi="Palatino Linotype"/>
          <w:sz w:val="18"/>
        </w:rPr>
        <w:t>protein-coding genes in</w:t>
      </w:r>
      <w:r w:rsidR="007B54F5">
        <w:rPr>
          <w:rFonts w:ascii="Palatino Linotype" w:hAnsi="Palatino Linotype"/>
          <w:b/>
          <w:bCs/>
          <w:sz w:val="18"/>
        </w:rPr>
        <w:t xml:space="preserve"> </w:t>
      </w:r>
      <w:r w:rsidR="007B54F5" w:rsidRPr="00FD2677">
        <w:rPr>
          <w:rFonts w:ascii="Palatino Linotype" w:hAnsi="Palatino Linotype"/>
          <w:sz w:val="18"/>
        </w:rPr>
        <w:t xml:space="preserve">DOX-induced senescent </w:t>
      </w:r>
      <w:r w:rsidR="007B54F5" w:rsidRPr="00FD2677">
        <w:rPr>
          <w:rFonts w:ascii="Palatino Linotype" w:hAnsi="Palatino Linotype"/>
          <w:i/>
          <w:sz w:val="18"/>
        </w:rPr>
        <w:t>PD-L1+</w:t>
      </w:r>
      <w:r w:rsidR="007B54F5" w:rsidRPr="00FD2677">
        <w:rPr>
          <w:rFonts w:ascii="Palatino Linotype" w:hAnsi="Palatino Linotype"/>
          <w:sz w:val="18"/>
        </w:rPr>
        <w:t xml:space="preserve"> and </w:t>
      </w:r>
      <w:r w:rsidR="007B54F5" w:rsidRPr="00FD2677">
        <w:rPr>
          <w:rFonts w:ascii="Palatino Linotype" w:hAnsi="Palatino Linotype"/>
          <w:i/>
          <w:sz w:val="18"/>
        </w:rPr>
        <w:t>PD-L1-</w:t>
      </w:r>
      <w:r w:rsidR="007B54F5" w:rsidRPr="00FD2677">
        <w:rPr>
          <w:rFonts w:ascii="Palatino Linotype" w:hAnsi="Palatino Linotype"/>
          <w:sz w:val="18"/>
        </w:rPr>
        <w:t xml:space="preserve"> cells compared to</w:t>
      </w:r>
      <w:r w:rsidR="00D30C46">
        <w:rPr>
          <w:rFonts w:ascii="Palatino Linotype" w:hAnsi="Palatino Linotype"/>
          <w:sz w:val="18"/>
        </w:rPr>
        <w:t xml:space="preserve"> the</w:t>
      </w:r>
      <w:r w:rsidR="007B54F5" w:rsidRPr="00FD2677">
        <w:rPr>
          <w:rFonts w:ascii="Palatino Linotype" w:hAnsi="Palatino Linotype"/>
          <w:sz w:val="18"/>
        </w:rPr>
        <w:t xml:space="preserve"> control cells. </w:t>
      </w:r>
      <w:bookmarkEnd w:id="0"/>
      <w:r w:rsidRPr="00D30C46">
        <w:rPr>
          <w:rFonts w:ascii="Palatino Linotype" w:hAnsi="Palatino Linotype"/>
          <w:sz w:val="18"/>
        </w:rPr>
        <w:t xml:space="preserve">(A) Enriched GO terms (top 10) and </w:t>
      </w:r>
      <w:r w:rsidR="00D30C46" w:rsidRPr="00D30C46">
        <w:rPr>
          <w:rFonts w:ascii="Palatino Linotype" w:hAnsi="Palatino Linotype"/>
          <w:sz w:val="18"/>
        </w:rPr>
        <w:t xml:space="preserve">(B) </w:t>
      </w:r>
      <w:r w:rsidRPr="00D30C46">
        <w:rPr>
          <w:rFonts w:ascii="Palatino Linotype" w:hAnsi="Palatino Linotype"/>
          <w:sz w:val="18"/>
        </w:rPr>
        <w:t xml:space="preserve">KEGG pathways for the most significantly correlated protein-coding genes to the shared up-regulated lncRNA genes. (C) Top 10 enriched GO terms and </w:t>
      </w:r>
      <w:r w:rsidR="00D30C46" w:rsidRPr="00D30C46">
        <w:rPr>
          <w:rFonts w:ascii="Palatino Linotype" w:hAnsi="Palatino Linotype"/>
          <w:sz w:val="18"/>
        </w:rPr>
        <w:t xml:space="preserve">(D) </w:t>
      </w:r>
      <w:r w:rsidRPr="00D30C46">
        <w:rPr>
          <w:rFonts w:ascii="Palatino Linotype" w:hAnsi="Palatino Linotype"/>
          <w:sz w:val="18"/>
        </w:rPr>
        <w:t>KEGG pathways for the most significantly correlated protein-coding genes to the shared down-regulated lncRNA genes.</w:t>
      </w:r>
    </w:p>
    <w:p w14:paraId="2A76E17B" w14:textId="77777777" w:rsidR="00FD2677" w:rsidRPr="00FD2677" w:rsidRDefault="00FD2677" w:rsidP="00FD2677">
      <w:pPr>
        <w:rPr>
          <w:iCs/>
          <w:lang w:bidi="en-US"/>
        </w:rPr>
      </w:pPr>
      <w:r w:rsidRPr="00FD2677">
        <w:rPr>
          <w:iCs/>
          <w:noProof/>
          <w:lang w:bidi="en-US"/>
        </w:rPr>
        <w:lastRenderedPageBreak/>
        <w:drawing>
          <wp:inline distT="0" distB="0" distL="0" distR="0" wp14:anchorId="1400BE99" wp14:editId="0F0A58AD">
            <wp:extent cx="5805377" cy="6774897"/>
            <wp:effectExtent l="0" t="0" r="5080" b="6985"/>
            <wp:docPr id="23" name="Picture 2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ubble chart&#10;&#10;Description automatically generated"/>
                    <pic:cNvPicPr/>
                  </pic:nvPicPr>
                  <pic:blipFill rotWithShape="1">
                    <a:blip r:embed="rId6"/>
                    <a:srcRect b="19195"/>
                    <a:stretch/>
                  </pic:blipFill>
                  <pic:spPr bwMode="auto">
                    <a:xfrm>
                      <a:off x="0" y="0"/>
                      <a:ext cx="5818704" cy="679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50154" w14:textId="1BE5CBDB" w:rsidR="00FD2677" w:rsidRPr="00FD2677" w:rsidRDefault="00FD2677" w:rsidP="003B6018">
      <w:pPr>
        <w:rPr>
          <w:rFonts w:ascii="Palatino Linotype" w:hAnsi="Palatino Linotype"/>
          <w:sz w:val="18"/>
          <w:szCs w:val="18"/>
          <w:lang w:bidi="en-US"/>
        </w:rPr>
      </w:pPr>
      <w:r w:rsidRPr="00FD2677">
        <w:rPr>
          <w:rFonts w:ascii="Palatino Linotype" w:hAnsi="Palatino Linotype"/>
          <w:b/>
          <w:bCs/>
          <w:sz w:val="18"/>
          <w:szCs w:val="18"/>
          <w:lang w:bidi="en-US"/>
        </w:rPr>
        <w:t>Figure S3.</w:t>
      </w:r>
      <w:r w:rsidRPr="00FD2677">
        <w:rPr>
          <w:rFonts w:ascii="Palatino Linotype" w:hAnsi="Palatino Linotype"/>
          <w:sz w:val="18"/>
          <w:szCs w:val="18"/>
          <w:lang w:bidi="en-US"/>
        </w:rPr>
        <w:t xml:space="preserve"> </w:t>
      </w:r>
      <w:r w:rsidRPr="00FD2677">
        <w:rPr>
          <w:rFonts w:ascii="Palatino Linotype" w:hAnsi="Palatino Linotype"/>
          <w:sz w:val="18"/>
          <w:szCs w:val="18"/>
        </w:rPr>
        <w:t xml:space="preserve">RNA-seq data analysis of DOX-resistant </w:t>
      </w:r>
      <w:r w:rsidRPr="00FD2677">
        <w:rPr>
          <w:rFonts w:ascii="Palatino Linotype" w:hAnsi="Palatino Linotype"/>
          <w:sz w:val="18"/>
          <w:szCs w:val="18"/>
          <w:lang w:bidi="en-US"/>
        </w:rPr>
        <w:t>IBC cells (FCIBC02 and SUM149 cells) compared to control cells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. (A) </w:t>
      </w:r>
      <w:r w:rsidRPr="00D30C46">
        <w:rPr>
          <w:rFonts w:ascii="Palatino Linotype" w:hAnsi="Palatino Linotype"/>
          <w:sz w:val="18"/>
          <w:szCs w:val="18"/>
        </w:rPr>
        <w:t>Volcano plot of differentially expressed genes based on the threshold values of 2-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fold change </w:t>
      </w:r>
      <w:r w:rsidRPr="00D30C46">
        <w:rPr>
          <w:rFonts w:ascii="Palatino Linotype" w:hAnsi="Palatino Linotype"/>
          <w:sz w:val="18"/>
          <w:szCs w:val="18"/>
        </w:rPr>
        <w:t>and FDR &lt; 0.05.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 (B) Number of differentially expressed lncRNA, protein-coding and other types of genes. (C) Venn diagrams of shared up- and down-regulated lncRNA and protein-coding genes between </w:t>
      </w:r>
      <w:r w:rsidRPr="00D30C46">
        <w:rPr>
          <w:rFonts w:ascii="Palatino Linotype" w:hAnsi="Palatino Linotype"/>
          <w:sz w:val="18"/>
          <w:szCs w:val="18"/>
        </w:rPr>
        <w:t xml:space="preserve">DOX-resistant </w:t>
      </w:r>
      <w:r w:rsidRPr="00D30C46">
        <w:rPr>
          <w:rFonts w:ascii="Palatino Linotype" w:hAnsi="Palatino Linotype"/>
          <w:sz w:val="18"/>
          <w:szCs w:val="18"/>
          <w:lang w:bidi="en-US"/>
        </w:rPr>
        <w:t>IBC FCIBC02 and SUM149 cells compared to</w:t>
      </w:r>
      <w:r w:rsidR="00D30C46" w:rsidRPr="00D30C46">
        <w:rPr>
          <w:rFonts w:ascii="Palatino Linotype" w:hAnsi="Palatino Linotype"/>
          <w:sz w:val="18"/>
          <w:szCs w:val="18"/>
          <w:lang w:bidi="en-US"/>
        </w:rPr>
        <w:t xml:space="preserve"> the</w:t>
      </w:r>
      <w:r w:rsidRPr="00D30C46">
        <w:rPr>
          <w:rFonts w:ascii="Palatino Linotype" w:hAnsi="Palatino Linotype"/>
          <w:sz w:val="18"/>
          <w:szCs w:val="18"/>
          <w:lang w:bidi="en-US"/>
        </w:rPr>
        <w:t xml:space="preserve"> control cells (</w:t>
      </w:r>
      <w:r w:rsidRPr="00D30C46">
        <w:rPr>
          <w:rFonts w:ascii="Palatino Linotype" w:hAnsi="Palatino Linotype"/>
          <w:i/>
          <w:iCs/>
          <w:sz w:val="18"/>
          <w:szCs w:val="18"/>
          <w:lang w:bidi="en-US"/>
        </w:rPr>
        <w:t>p</w:t>
      </w:r>
      <w:r w:rsidRPr="00D30C46">
        <w:rPr>
          <w:rFonts w:ascii="Palatino Linotype" w:hAnsi="Palatino Linotype"/>
          <w:sz w:val="18"/>
          <w:szCs w:val="18"/>
          <w:lang w:bidi="en-US"/>
        </w:rPr>
        <w:t>-value &lt; 0.0001).</w:t>
      </w:r>
    </w:p>
    <w:p w14:paraId="73654896" w14:textId="77777777" w:rsidR="00F72E72" w:rsidRDefault="00F72E72"/>
    <w:sectPr w:rsidR="00F72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677"/>
    <w:rsid w:val="00094B85"/>
    <w:rsid w:val="003B6018"/>
    <w:rsid w:val="00512B8F"/>
    <w:rsid w:val="007B54F5"/>
    <w:rsid w:val="009F1240"/>
    <w:rsid w:val="00D30C46"/>
    <w:rsid w:val="00F72E72"/>
    <w:rsid w:val="00FD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3DC08"/>
  <w15:chartTrackingRefBased/>
  <w15:docId w15:val="{8C6F8D6C-D9C4-41A2-9D08-388DF328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31text">
    <w:name w:val="MDPI_3.1_text"/>
    <w:link w:val="MDPI31textChar"/>
    <w:qFormat/>
    <w:rsid w:val="00FD2677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kern w:val="0"/>
      <w:sz w:val="20"/>
      <w:lang w:val="en-US" w:eastAsia="de-DE" w:bidi="en-US"/>
      <w14:ligatures w14:val="none"/>
    </w:rPr>
  </w:style>
  <w:style w:type="character" w:customStyle="1" w:styleId="MDPI31textChar">
    <w:name w:val="MDPI_3.1_text Char"/>
    <w:basedOn w:val="DefaultParagraphFont"/>
    <w:link w:val="MDPI31text"/>
    <w:rsid w:val="00FD2677"/>
    <w:rPr>
      <w:rFonts w:ascii="Palatino Linotype" w:eastAsia="Times New Roman" w:hAnsi="Palatino Linotype" w:cs="Times New Roman"/>
      <w:snapToGrid w:val="0"/>
      <w:color w:val="000000"/>
      <w:kern w:val="0"/>
      <w:sz w:val="20"/>
      <w:lang w:val="en-US" w:eastAsia="de-DE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Distefano</dc:creator>
  <cp:keywords/>
  <dc:description/>
  <cp:lastModifiedBy>Shizuka Uchida</cp:lastModifiedBy>
  <cp:revision>4</cp:revision>
  <dcterms:created xsi:type="dcterms:W3CDTF">2023-06-03T10:14:00Z</dcterms:created>
  <dcterms:modified xsi:type="dcterms:W3CDTF">2023-06-04T14:52:00Z</dcterms:modified>
</cp:coreProperties>
</file>