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168" w:right="3168" w:firstLine="0"/>
        <w:jc w:val="center"/>
      </w:pPr>
      <w:r>
        <w:rPr>
          <w:rFonts w:ascii="Poppins Medium" w:hAnsi="Poppins Medium" w:eastAsia="Poppins Medium"/>
          <w:b w:val="0"/>
          <w:i w:val="0"/>
          <w:color w:val="000000"/>
          <w:sz w:val="50"/>
        </w:rPr>
        <w:t xml:space="preserve">Curriculum vitae </w:t>
      </w:r>
      <w:r>
        <w:br/>
      </w:r>
      <w:r>
        <w:rPr>
          <w:rFonts w:ascii="Poppins Medium" w:hAnsi="Poppins Medium" w:eastAsia="Poppins Medium"/>
          <w:b w:val="0"/>
          <w:i w:val="0"/>
          <w:color w:val="000000"/>
          <w:sz w:val="22"/>
        </w:rPr>
        <w:t>Gestionnaire de Valeur</w:t>
      </w:r>
    </w:p>
    <w:p>
      <w:pPr>
        <w:autoSpaceDN w:val="0"/>
        <w:autoSpaceDE w:val="0"/>
        <w:widowControl/>
        <w:spacing w:line="190" w:lineRule="auto" w:before="590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Informations personnelles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75"/>
        <w:gridCol w:w="3575"/>
        <w:gridCol w:w="3575"/>
      </w:tblGrid>
      <w:tr>
        <w:trPr>
          <w:trHeight w:hRule="exact" w:val="674"/>
        </w:trPr>
        <w:tc>
          <w:tcPr>
            <w:tcW w:type="dxa" w:w="284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Nom</w:t>
            </w:r>
          </w:p>
        </w:tc>
        <w:tc>
          <w:tcPr>
            <w:tcW w:type="dxa" w:w="512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66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Molka GHARBI</w:t>
            </w:r>
          </w:p>
        </w:tc>
        <w:tc>
          <w:tcPr>
            <w:tcW w:type="dxa" w:w="2746"/>
            <w:vMerge w:val="restart"/>
            <w:tcBorders>
              <w:top w:sz="4.0" w:val="single" w:color="#E0E0E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9999" cy="127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99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0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Adresse e-mail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0" w:after="0"/>
              <w:ind w:left="66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hyperlink r:id="rId10" w:history="1">
                <w:r>
                  <w:rPr>
                    <w:rStyle w:val="Hyperlink"/>
                  </w:rPr>
                  <w:t>molkagharbi</w:t>
                </w:r>
              </w:hyperlink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hyperlink r:id="rId10" w:history="1">
                <w:r>
                  <w:rPr>
                    <w:rStyle w:val="Hyperlink"/>
                  </w:rPr>
                  <w:t>@</w:t>
                </w:r>
              </w:hyperlink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hyperlink r:id="rId10" w:history="1">
                <w:r>
                  <w:rPr>
                    <w:rStyle w:val="Hyperlink"/>
                  </w:rPr>
                  <w:t>outlook</w:t>
                </w:r>
              </w:hyperlink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hyperlink r:id="rId10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hyperlink r:id="rId10" w:history="1">
                <w:r>
                  <w:rPr>
                    <w:rStyle w:val="Hyperlink"/>
                  </w:rPr>
                  <w:t>com</w:t>
                </w:r>
              </w:hyperlink>
            </w:r>
          </w:p>
        </w:tc>
        <w:tc>
          <w:tcPr>
            <w:tcW w:type="dxa" w:w="3575"/>
            <w:vMerge/>
            <w:tcBorders>
              <w:top w:sz="4.0" w:val="single" w:color="#E0E0E0"/>
            </w:tcBorders>
          </w:tcPr>
          <w:p/>
        </w:tc>
      </w:tr>
      <w:tr>
        <w:trPr>
          <w:trHeight w:hRule="exact" w:val="48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6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Numéro de téléphone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6" w:after="0"/>
              <w:ind w:left="66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(+216) 24 913 836</w:t>
            </w:r>
          </w:p>
        </w:tc>
        <w:tc>
          <w:tcPr>
            <w:tcW w:type="dxa" w:w="3575"/>
            <w:vMerge/>
            <w:tcBorders>
              <w:top w:sz="4.0" w:val="single" w:color="#E0E0E0"/>
            </w:tcBorders>
          </w:tcPr>
          <w:p/>
        </w:tc>
      </w:tr>
      <w:tr>
        <w:trPr>
          <w:trHeight w:hRule="exact" w:val="48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Adresse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" w:after="0"/>
              <w:ind w:left="0" w:right="0" w:firstLine="0"/>
              <w:jc w:val="center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Route de Tunis Km 4, 3031 Sfax, Tunisie</w:t>
            </w:r>
          </w:p>
        </w:tc>
        <w:tc>
          <w:tcPr>
            <w:tcW w:type="dxa" w:w="3575"/>
            <w:vMerge/>
            <w:tcBorders>
              <w:top w:sz="4.0" w:val="single" w:color="#E0E0E0"/>
            </w:tcBorders>
          </w:tcPr>
          <w:p/>
        </w:tc>
      </w:tr>
      <w:tr>
        <w:trPr>
          <w:trHeight w:hRule="exact" w:val="44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4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Permis de conduire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4" w:after="0"/>
              <w:ind w:left="66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3575"/>
            <w:vMerge/>
            <w:tcBorders>
              <w:top w:sz="4.0" w:val="single" w:color="#E0E0E0"/>
            </w:tcBorders>
          </w:tcPr>
          <w:p/>
        </w:tc>
      </w:tr>
    </w:tbl>
    <w:p>
      <w:pPr>
        <w:autoSpaceDN w:val="0"/>
        <w:autoSpaceDE w:val="0"/>
        <w:widowControl/>
        <w:spacing w:line="190" w:lineRule="auto" w:before="328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Profil</w:t>
      </w:r>
    </w:p>
    <w:p>
      <w:pPr>
        <w:autoSpaceDN w:val="0"/>
        <w:autoSpaceDE w:val="0"/>
        <w:widowControl/>
        <w:spacing w:line="245" w:lineRule="auto" w:before="386" w:after="0"/>
        <w:ind w:left="0" w:right="20" w:firstLine="0"/>
        <w:jc w:val="both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 xml:space="preserve">Gestionnaire bancaire expérimentée avec expertise en gestion des opérations financières, analyse de </w:t>
      </w:r>
      <w:r>
        <w:rPr>
          <w:rFonts w:ascii="Poppins Medium" w:hAnsi="Poppins Medium" w:eastAsia="Poppins Medium"/>
          <w:b w:val="0"/>
          <w:i w:val="0"/>
          <w:color w:val="000000"/>
          <w:sz w:val="20"/>
        </w:rPr>
        <w:t xml:space="preserve">crédit, et relation client. Compétente en conformité, gestion des risques, et promotion de produits financiers </w:t>
      </w: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adaptés. Forte capacité à améliorer les processus et à fournir un service client de qualité supérieure.</w:t>
      </w:r>
    </w:p>
    <w:p>
      <w:pPr>
        <w:autoSpaceDN w:val="0"/>
        <w:autoSpaceDE w:val="0"/>
        <w:widowControl/>
        <w:spacing w:line="190" w:lineRule="auto" w:before="392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Compétences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2812"/>
        </w:trPr>
        <w:tc>
          <w:tcPr>
            <w:tcW w:type="dxa" w:w="332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92" w:after="0"/>
              <w:ind w:left="0" w:right="144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Maîtrise des outils financiers et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logiciels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Esprit d'équipe et collaboration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Résolution de problèmes.</w:t>
            </w:r>
          </w:p>
          <w:p>
            <w:pPr>
              <w:autoSpaceDN w:val="0"/>
              <w:autoSpaceDE w:val="0"/>
              <w:widowControl/>
              <w:spacing w:line="257" w:lineRule="auto" w:before="194" w:after="0"/>
              <w:ind w:left="0" w:right="144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Gestion de stresse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sens de l’écoute</w:t>
            </w:r>
          </w:p>
        </w:tc>
        <w:tc>
          <w:tcPr>
            <w:tcW w:type="dxa" w:w="738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18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Excellent</w:t>
            </w:r>
          </w:p>
          <w:p>
            <w:pPr>
              <w:autoSpaceDN w:val="0"/>
              <w:autoSpaceDE w:val="0"/>
              <w:widowControl/>
              <w:spacing w:line="290" w:lineRule="auto" w:before="470" w:after="0"/>
              <w:ind w:left="180" w:right="6352" w:firstLine="0"/>
              <w:jc w:val="both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Excellent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Excellent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Excellent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Excellent</w:t>
            </w:r>
          </w:p>
        </w:tc>
      </w:tr>
    </w:tbl>
    <w:p>
      <w:pPr>
        <w:autoSpaceDN w:val="0"/>
        <w:autoSpaceDE w:val="0"/>
        <w:widowControl/>
        <w:spacing w:line="190" w:lineRule="auto" w:before="126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Expérience professionnelle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3938"/>
        </w:trPr>
        <w:tc>
          <w:tcPr>
            <w:tcW w:type="dxa" w:w="280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de juil. 2023 à ce jour</w:t>
            </w:r>
          </w:p>
        </w:tc>
        <w:tc>
          <w:tcPr>
            <w:tcW w:type="dxa" w:w="790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Gestionnaire de Valeur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Amen Bank, Sfax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Superviser les transactions financières selon les réglementations en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vigueur.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Gérer l'ouverture, la clôture, et le suivi des comptes clients pour assurer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leur satisfaction.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Analyser et approuver les demandes de crédit en évaluant les risques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financiers.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Gérer les découverts bancaires et résoudre les incidents de chèques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impayés.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Promouvoir des produits financiers adaptés aux besoins spécifiques des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clients.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7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Optimiser les processus opérationnels par l'adoption de nouvelles</w:t>
            </w:r>
          </w:p>
        </w:tc>
      </w:tr>
    </w:tbl>
    <w:p>
      <w:pPr>
        <w:autoSpaceDN w:val="0"/>
        <w:autoSpaceDE w:val="0"/>
        <w:widowControl/>
        <w:spacing w:line="190" w:lineRule="auto" w:before="424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16"/>
        </w:rPr>
        <w:t xml:space="preserve">CV conçu avec </w:t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CV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fr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t>.</w:t>
      </w:r>
    </w:p>
    <w:p>
      <w:pPr>
        <w:sectPr>
          <w:pgSz w:w="11906" w:h="16838"/>
          <w:pgMar w:top="292" w:right="580" w:bottom="300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0" w:right="5908" w:firstLine="0"/>
        <w:jc w:val="righ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technologies.</w:t>
      </w:r>
    </w:p>
    <w:p>
      <w:pPr>
        <w:autoSpaceDN w:val="0"/>
        <w:autoSpaceDE w:val="0"/>
        <w:widowControl/>
        <w:spacing w:line="245" w:lineRule="auto" w:before="0" w:after="136"/>
        <w:ind w:left="350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 xml:space="preserve">Développer des relations clients durables en offrant un service </w:t>
      </w: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personnalisé.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232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de sept. 2022 à juin 2023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20" w:right="432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Assistante Financière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OPTYLAB – Industrie de fabrication des verres progressifs pour les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presbytes, Sfax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Gérer les flux de trésorerie et préparer les prévisions financières.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Superviser les processus comptables et élaborer des rapports financiers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précis.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20" w:right="576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Assurer la conformité fiscale et préparer les déclarations de taxes.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Soutenir la direction dans les analyses financières stratégiques.</w:t>
            </w:r>
          </w:p>
        </w:tc>
      </w:tr>
    </w:tbl>
    <w:p>
      <w:pPr>
        <w:autoSpaceDN w:val="0"/>
        <w:autoSpaceDE w:val="0"/>
        <w:widowControl/>
        <w:spacing w:line="190" w:lineRule="auto" w:before="132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Stages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6260"/>
        </w:trPr>
        <w:tc>
          <w:tcPr>
            <w:tcW w:type="dxa" w:w="298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de juin 2022 à août 2022</w:t>
            </w:r>
          </w:p>
          <w:p>
            <w:pPr>
              <w:autoSpaceDN w:val="0"/>
              <w:autoSpaceDE w:val="0"/>
              <w:widowControl/>
              <w:spacing w:line="190" w:lineRule="auto" w:before="1846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de août 2021 à oct. 2021</w:t>
            </w:r>
          </w:p>
          <w:p>
            <w:pPr>
              <w:autoSpaceDN w:val="0"/>
              <w:autoSpaceDE w:val="0"/>
              <w:widowControl/>
              <w:spacing w:line="190" w:lineRule="auto" w:before="1844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de sept. 2020 à oct. 2020</w:t>
            </w:r>
          </w:p>
        </w:tc>
        <w:tc>
          <w:tcPr>
            <w:tcW w:type="dxa" w:w="772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Agent administratif de vente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OPTYLAB – Industrie de fabrication des verres progressifs pour les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presbytes, Sfax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Prospection téléphonique avec les clients, les agences et les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commerciaux.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Facturation des commandes sur le logiciel ERP Business Soft.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Suivi des commandes en cours de production.</w:t>
            </w:r>
          </w:p>
          <w:p>
            <w:pPr>
              <w:autoSpaceDN w:val="0"/>
              <w:autoSpaceDE w:val="0"/>
              <w:widowControl/>
              <w:spacing w:line="245" w:lineRule="auto" w:before="196" w:after="0"/>
              <w:ind w:left="520" w:right="144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Stagiaire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Banque Internationale Arabe de Tunisie D4, Sfax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Gestion des cartes bancaires et des carnets de chèques.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Délivrance au guichet des cartes bancaires et des carnets de chèques.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Classement des carnets de chèques.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Passation et enregistrement des chèques.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Analyse des dossiers de crédit.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520" w:right="1872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Stagiaire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Société Tunisienne de Banque, Sfax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Accueil, orientation et accompagnement des clients.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Gestion des opérations bancaires courantes.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Assistance à la clientèle pour les demandes de renseignements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financiers.</w:t>
            </w:r>
          </w:p>
        </w:tc>
      </w:tr>
    </w:tbl>
    <w:p>
      <w:pPr>
        <w:autoSpaceDN w:val="0"/>
        <w:autoSpaceDE w:val="0"/>
        <w:widowControl/>
        <w:spacing w:line="190" w:lineRule="auto" w:before="126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2414"/>
        </w:trPr>
        <w:tc>
          <w:tcPr>
            <w:tcW w:type="dxa" w:w="220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2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juin 2024</w:t>
            </w:r>
          </w:p>
          <w:p>
            <w:pPr>
              <w:autoSpaceDN w:val="0"/>
              <w:autoSpaceDE w:val="0"/>
              <w:widowControl/>
              <w:spacing w:line="190" w:lineRule="auto" w:before="470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juin 2022</w:t>
            </w:r>
          </w:p>
          <w:p>
            <w:pPr>
              <w:autoSpaceDN w:val="0"/>
              <w:autoSpaceDE w:val="0"/>
              <w:widowControl/>
              <w:spacing w:line="190" w:lineRule="auto" w:before="470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juin 2019</w:t>
            </w:r>
          </w:p>
        </w:tc>
        <w:tc>
          <w:tcPr>
            <w:tcW w:type="dxa" w:w="850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300" w:right="2592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Master Professionnel en Ingénierie Financière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International School of Business, Tunisie, Sfax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30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Diplôme de Licence National en sciences de gestion spécialité Finance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Institut des Hautes Etudes Commerciales, Sfax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300" w:right="288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Baccalauréat Section économie et gestion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Lycée Monji Slim, Sfax</w:t>
            </w:r>
          </w:p>
        </w:tc>
      </w:tr>
    </w:tbl>
    <w:p>
      <w:pPr>
        <w:autoSpaceDN w:val="0"/>
        <w:autoSpaceDE w:val="0"/>
        <w:widowControl/>
        <w:spacing w:line="190" w:lineRule="auto" w:before="124" w:after="84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Certificats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638"/>
        </w:trPr>
        <w:tc>
          <w:tcPr>
            <w:tcW w:type="dxa" w:w="198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4" w:after="0"/>
              <w:ind w:left="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2023</w:t>
            </w:r>
          </w:p>
        </w:tc>
        <w:tc>
          <w:tcPr>
            <w:tcW w:type="dxa" w:w="872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94" w:after="0"/>
              <w:ind w:left="1520" w:right="0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Certification de développement sur le logiciel Fin Labs</w:t>
            </w:r>
          </w:p>
        </w:tc>
      </w:tr>
    </w:tbl>
    <w:p>
      <w:pPr>
        <w:autoSpaceDN w:val="0"/>
        <w:autoSpaceDE w:val="0"/>
        <w:widowControl/>
        <w:spacing w:line="190" w:lineRule="auto" w:before="892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16"/>
        </w:rPr>
        <w:t xml:space="preserve">CV conçu avec </w:t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CV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fr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t>.</w:t>
      </w:r>
    </w:p>
    <w:p>
      <w:pPr>
        <w:sectPr>
          <w:pgSz w:w="11906" w:h="16838"/>
          <w:pgMar w:top="296" w:right="580" w:bottom="300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"/>
        <w:ind w:left="0" w:right="0"/>
      </w:pPr>
    </w:p>
    <w:p>
      <w:pPr>
        <w:autoSpaceDN w:val="0"/>
        <w:tabs>
          <w:tab w:pos="3500" w:val="left"/>
        </w:tabs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 xml:space="preserve">2023 </w:t>
      </w:r>
      <w:r>
        <w:tab/>
      </w: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Certification Excel Avancé</w:t>
      </w:r>
    </w:p>
    <w:p>
      <w:pPr>
        <w:autoSpaceDN w:val="0"/>
        <w:tabs>
          <w:tab w:pos="3500" w:val="left"/>
        </w:tabs>
        <w:autoSpaceDE w:val="0"/>
        <w:widowControl/>
        <w:spacing w:line="190" w:lineRule="auto" w:before="196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 xml:space="preserve">2023 </w:t>
      </w:r>
      <w:r>
        <w:tab/>
      </w: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Certification en Communication des Affaires</w:t>
      </w:r>
    </w:p>
    <w:p>
      <w:pPr>
        <w:autoSpaceDN w:val="0"/>
        <w:autoSpaceDE w:val="0"/>
        <w:widowControl/>
        <w:spacing w:line="190" w:lineRule="auto" w:before="190" w:after="82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Langues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3"/>
        <w:gridCol w:w="5363"/>
      </w:tblGrid>
      <w:tr>
        <w:trPr>
          <w:trHeight w:hRule="exact" w:val="1590"/>
        </w:trPr>
        <w:tc>
          <w:tcPr>
            <w:tcW w:type="dxa" w:w="2180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4" w:after="0"/>
              <w:ind w:left="0" w:right="1296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Arabe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Français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Anglais</w:t>
            </w:r>
          </w:p>
        </w:tc>
        <w:tc>
          <w:tcPr>
            <w:tcW w:type="dxa" w:w="8526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4" w:after="0"/>
              <w:ind w:left="1320" w:right="6316" w:firstLine="0"/>
              <w:jc w:val="both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Courant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 xml:space="preserve">Courant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20"/>
              </w:rPr>
              <w:t>Très bien</w:t>
            </w:r>
          </w:p>
        </w:tc>
      </w:tr>
    </w:tbl>
    <w:p>
      <w:pPr>
        <w:autoSpaceDN w:val="0"/>
        <w:autoSpaceDE w:val="0"/>
        <w:widowControl/>
        <w:spacing w:line="190" w:lineRule="auto" w:before="124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30"/>
        </w:rPr>
        <w:t>Centres d'intérêt</w:t>
      </w:r>
    </w:p>
    <w:p>
      <w:pPr>
        <w:autoSpaceDN w:val="0"/>
        <w:autoSpaceDE w:val="0"/>
        <w:widowControl/>
        <w:spacing w:line="190" w:lineRule="auto" w:before="386" w:after="0"/>
        <w:ind w:left="25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Sport</w:t>
      </w:r>
    </w:p>
    <w:p>
      <w:pPr>
        <w:autoSpaceDN w:val="0"/>
        <w:autoSpaceDE w:val="0"/>
        <w:widowControl/>
        <w:spacing w:line="190" w:lineRule="auto" w:before="196" w:after="0"/>
        <w:ind w:left="25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Cuisine</w:t>
      </w:r>
    </w:p>
    <w:p>
      <w:pPr>
        <w:autoSpaceDN w:val="0"/>
        <w:autoSpaceDE w:val="0"/>
        <w:widowControl/>
        <w:spacing w:line="190" w:lineRule="auto" w:before="194" w:after="0"/>
        <w:ind w:left="25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20"/>
        </w:rPr>
        <w:t>Développement personnel</w:t>
      </w:r>
    </w:p>
    <w:p>
      <w:pPr>
        <w:autoSpaceDN w:val="0"/>
        <w:autoSpaceDE w:val="0"/>
        <w:widowControl/>
        <w:spacing w:line="190" w:lineRule="auto" w:before="10210" w:after="0"/>
        <w:ind w:left="0" w:right="0" w:firstLine="0"/>
        <w:jc w:val="left"/>
      </w:pPr>
      <w:r>
        <w:rPr>
          <w:rFonts w:ascii="Poppins Medium" w:hAnsi="Poppins Medium" w:eastAsia="Poppins Medium"/>
          <w:b w:val="0"/>
          <w:i w:val="0"/>
          <w:color w:val="000000"/>
          <w:sz w:val="16"/>
        </w:rPr>
        <w:t xml:space="preserve">CV conçu avec </w:t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CV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fr</w:t>
          </w:r>
        </w:hyperlink>
      </w:r>
      <w:r>
        <w:rPr>
          <w:rFonts w:ascii="Poppins Medium" w:hAnsi="Poppins Medium" w:eastAsia="Poppins Medium"/>
          <w:b w:val="0"/>
          <w:i w:val="0"/>
          <w:color w:val="000000"/>
          <w:sz w:val="16"/>
        </w:rPr>
        <w:t>.</w:t>
      </w:r>
    </w:p>
    <w:sectPr w:rsidR="00FC693F" w:rsidRPr="0006063C" w:rsidSect="00034616">
      <w:pgSz w:w="11906" w:h="16838"/>
      <w:pgMar w:top="296" w:right="580" w:bottom="300" w:left="6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molkagharbi@outlook.com" TargetMode="External"/><Relationship Id="rId11" Type="http://schemas.openxmlformats.org/officeDocument/2006/relationships/hyperlink" Target="https://www.cv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