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DE IBEX_35</w:t>
      </w:r>
    </w:p>
    <w:p>
      <w:pPr>
        <w:pStyle w:val="Heading1"/>
      </w:pPr>
      <w:r>
        <w:t>1. Características del Ibex35</w:t>
      </w:r>
    </w:p>
    <w:p>
      <w:r>
        <w:t>El Ibex se compone de las 35 empresas con más liquidez que cotizan en el sistema bursátil español que está formado por las bolsas de Madrid, Valencia, Barcelona y Bilbao. Por ello se utiliza como referencia para conocer la situación de la Bolsa española.</w:t>
      </w:r>
    </w:p>
    <w:p>
      <w:r>
        <w:t>Si comprobamos la distribución por sectores, podemos comprobar que Electricidad y Gas es el sector más representativo, ya que supone un 22% del Ibex, seguido de la Banca, Textil y calzado, Telecomunicaciones y Minerales-transformación.</w:t>
      </w:r>
    </w:p>
    <w:p>
      <w:r>
        <w:drawing>
          <wp:inline xmlns:a="http://schemas.openxmlformats.org/drawingml/2006/main" xmlns:pic="http://schemas.openxmlformats.org/drawingml/2006/picture">
            <wp:extent cx="3960000" cy="2233537"/>
            <wp:docPr id="1" name="Picture 1"/>
            <wp:cNvGraphicFramePr>
              <a:graphicFrameLocks noChangeAspect="1"/>
            </wp:cNvGraphicFramePr>
            <a:graphic>
              <a:graphicData uri="http://schemas.openxmlformats.org/drawingml/2006/picture">
                <pic:pic>
                  <pic:nvPicPr>
                    <pic:cNvPr id="0" name="Ibex.jpg"/>
                    <pic:cNvPicPr/>
                  </pic:nvPicPr>
                  <pic:blipFill>
                    <a:blip r:embed="rId9"/>
                    <a:stretch>
                      <a:fillRect/>
                    </a:stretch>
                  </pic:blipFill>
                  <pic:spPr>
                    <a:xfrm>
                      <a:off x="0" y="0"/>
                      <a:ext cx="3960000" cy="2233537"/>
                    </a:xfrm>
                    <a:prstGeom prst="rect"/>
                  </pic:spPr>
                </pic:pic>
              </a:graphicData>
            </a:graphic>
          </wp:inline>
        </w:drawing>
      </w:r>
    </w:p>
    <w:p>
      <w:r>
        <w:t>El gráfico nos muestra los 5 sectores más representativos, siendo un total de 17 sectores los que están representados en el Ibex.35</w:t>
      </w:r>
    </w:p>
    <w:p>
      <w:r>
        <w:t>En la siguiente tabla comprobamos la distribución por sectores del Ibex</w:t>
      </w:r>
    </w:p>
    <w:tbl>
      <w:tblPr>
        <w:tblStyle w:val="ColorfulShading-Accent1"/>
        <w:tblW w:type="auto" w:w="0"/>
        <w:tblLook w:firstColumn="1" w:firstRow="1" w:lastColumn="0" w:lastRow="0" w:noHBand="0" w:noVBand="1" w:val="04A0"/>
      </w:tblPr>
      <w:tblGrid>
        <w:gridCol w:w="4320"/>
        <w:gridCol w:w="4320"/>
      </w:tblGrid>
      <w:tr>
        <w:tc>
          <w:tcPr>
            <w:tcW w:type="dxa" w:w="4320"/>
          </w:tcPr>
          <w:p>
            <w:r>
              <w:t>Sectores</w:t>
            </w:r>
          </w:p>
        </w:tc>
        <w:tc>
          <w:tcPr>
            <w:tcW w:type="dxa" w:w="4320"/>
          </w:tcPr>
          <w:p>
            <w:r>
              <w:t>Ponderación</w:t>
            </w:r>
          </w:p>
        </w:tc>
      </w:tr>
      <w:tr>
        <w:tc>
          <w:tcPr>
            <w:tcW w:type="dxa" w:w="4320"/>
          </w:tcPr>
          <w:p>
            <w:r>
              <w:t>Electricidad y gas</w:t>
            </w:r>
          </w:p>
        </w:tc>
        <w:tc>
          <w:tcPr>
            <w:tcW w:type="dxa" w:w="4320"/>
          </w:tcPr>
          <w:p>
            <w:r>
              <w:t>22.19%</w:t>
            </w:r>
          </w:p>
        </w:tc>
      </w:tr>
      <w:tr>
        <w:tc>
          <w:tcPr>
            <w:tcW w:type="dxa" w:w="4320"/>
          </w:tcPr>
          <w:p>
            <w:r>
              <w:t>Bancos y cajas de ahorro</w:t>
            </w:r>
          </w:p>
        </w:tc>
        <w:tc>
          <w:tcPr>
            <w:tcW w:type="dxa" w:w="4320"/>
          </w:tcPr>
          <w:p>
            <w:r>
              <w:t>18.95%</w:t>
            </w:r>
          </w:p>
        </w:tc>
      </w:tr>
      <w:tr>
        <w:tc>
          <w:tcPr>
            <w:tcW w:type="dxa" w:w="4320"/>
          </w:tcPr>
          <w:p>
            <w:r>
              <w:t>Textil, vestido y calzado</w:t>
            </w:r>
          </w:p>
        </w:tc>
        <w:tc>
          <w:tcPr>
            <w:tcW w:type="dxa" w:w="4320"/>
          </w:tcPr>
          <w:p>
            <w:r>
              <w:t>15.25%</w:t>
            </w:r>
          </w:p>
        </w:tc>
      </w:tr>
      <w:tr>
        <w:tc>
          <w:tcPr>
            <w:tcW w:type="dxa" w:w="4320"/>
          </w:tcPr>
          <w:p>
            <w:r>
              <w:t>Telecomunicaciones y otros</w:t>
            </w:r>
          </w:p>
        </w:tc>
        <w:tc>
          <w:tcPr>
            <w:tcW w:type="dxa" w:w="4320"/>
          </w:tcPr>
          <w:p>
            <w:r>
              <w:t>7.83%</w:t>
            </w:r>
          </w:p>
        </w:tc>
      </w:tr>
      <w:tr>
        <w:tc>
          <w:tcPr>
            <w:tcW w:type="dxa" w:w="4320"/>
          </w:tcPr>
          <w:p>
            <w:r>
              <w:t>Mineral, metales y transformación</w:t>
            </w:r>
          </w:p>
        </w:tc>
        <w:tc>
          <w:tcPr>
            <w:tcW w:type="dxa" w:w="4320"/>
          </w:tcPr>
          <w:p>
            <w:r>
              <w:t>5.75%</w:t>
            </w:r>
          </w:p>
        </w:tc>
      </w:tr>
      <w:tr>
        <w:tc>
          <w:tcPr>
            <w:tcW w:type="dxa" w:w="4320"/>
          </w:tcPr>
          <w:p>
            <w:r>
              <w:t>Construcción</w:t>
            </w:r>
          </w:p>
        </w:tc>
        <w:tc>
          <w:tcPr>
            <w:tcW w:type="dxa" w:w="4320"/>
          </w:tcPr>
          <w:p>
            <w:r>
              <w:t>5.74%</w:t>
            </w:r>
          </w:p>
        </w:tc>
      </w:tr>
      <w:tr>
        <w:tc>
          <w:tcPr>
            <w:tcW w:type="dxa" w:w="4320"/>
          </w:tcPr>
          <w:p>
            <w:r>
              <w:t>Transporte y distribución</w:t>
            </w:r>
          </w:p>
        </w:tc>
        <w:tc>
          <w:tcPr>
            <w:tcW w:type="dxa" w:w="4320"/>
          </w:tcPr>
          <w:p>
            <w:r>
              <w:t>5.63%</w:t>
            </w:r>
          </w:p>
        </w:tc>
      </w:tr>
      <w:tr>
        <w:tc>
          <w:tcPr>
            <w:tcW w:type="dxa" w:w="4320"/>
          </w:tcPr>
          <w:p>
            <w:r>
              <w:t>Electrónica y software</w:t>
            </w:r>
          </w:p>
        </w:tc>
        <w:tc>
          <w:tcPr>
            <w:tcW w:type="dxa" w:w="4320"/>
          </w:tcPr>
          <w:p>
            <w:r>
              <w:t>4.97%</w:t>
            </w:r>
          </w:p>
        </w:tc>
      </w:tr>
      <w:tr>
        <w:tc>
          <w:tcPr>
            <w:tcW w:type="dxa" w:w="4320"/>
          </w:tcPr>
          <w:p>
            <w:r>
              <w:t>Fabricación y montaje de bienes de equipo</w:t>
            </w:r>
          </w:p>
        </w:tc>
        <w:tc>
          <w:tcPr>
            <w:tcW w:type="dxa" w:w="4320"/>
          </w:tcPr>
          <w:p>
            <w:r>
              <w:t>3.91%</w:t>
            </w:r>
          </w:p>
        </w:tc>
      </w:tr>
      <w:tr>
        <w:tc>
          <w:tcPr>
            <w:tcW w:type="dxa" w:w="4320"/>
          </w:tcPr>
          <w:p>
            <w:r>
              <w:t>Petróleo</w:t>
            </w:r>
          </w:p>
        </w:tc>
        <w:tc>
          <w:tcPr>
            <w:tcW w:type="dxa" w:w="4320"/>
          </w:tcPr>
          <w:p>
            <w:r>
              <w:t>2.99%</w:t>
            </w:r>
          </w:p>
        </w:tc>
      </w:tr>
      <w:tr>
        <w:tc>
          <w:tcPr>
            <w:tcW w:type="dxa" w:w="4320"/>
          </w:tcPr>
          <w:p>
            <w:r>
              <w:t>Productos farmacéuticos y biotecnología</w:t>
            </w:r>
          </w:p>
        </w:tc>
        <w:tc>
          <w:tcPr>
            <w:tcW w:type="dxa" w:w="4320"/>
          </w:tcPr>
          <w:p>
            <w:r>
              <w:t>2.38%</w:t>
            </w:r>
          </w:p>
        </w:tc>
      </w:tr>
      <w:tr>
        <w:tc>
          <w:tcPr>
            <w:tcW w:type="dxa" w:w="4320"/>
          </w:tcPr>
          <w:p>
            <w:r>
              <w:t>SOCIMI</w:t>
            </w:r>
          </w:p>
        </w:tc>
        <w:tc>
          <w:tcPr>
            <w:tcW w:type="dxa" w:w="4320"/>
          </w:tcPr>
          <w:p>
            <w:r>
              <w:t>1.44%</w:t>
            </w:r>
          </w:p>
        </w:tc>
      </w:tr>
      <w:tr>
        <w:tc>
          <w:tcPr>
            <w:tcW w:type="dxa" w:w="4320"/>
          </w:tcPr>
          <w:p>
            <w:r>
              <w:t>Seguros</w:t>
            </w:r>
          </w:p>
        </w:tc>
        <w:tc>
          <w:tcPr>
            <w:tcW w:type="dxa" w:w="4320"/>
          </w:tcPr>
          <w:p>
            <w:r>
              <w:t>0.95%</w:t>
            </w:r>
          </w:p>
        </w:tc>
      </w:tr>
      <w:tr>
        <w:tc>
          <w:tcPr>
            <w:tcW w:type="dxa" w:w="4320"/>
          </w:tcPr>
          <w:p>
            <w:r>
              <w:t>Equipamiento deportivo</w:t>
            </w:r>
          </w:p>
        </w:tc>
        <w:tc>
          <w:tcPr>
            <w:tcW w:type="dxa" w:w="4320"/>
          </w:tcPr>
          <w:p>
            <w:r>
              <w:t>0.83%</w:t>
            </w:r>
          </w:p>
        </w:tc>
      </w:tr>
      <w:tr>
        <w:tc>
          <w:tcPr>
            <w:tcW w:type="dxa" w:w="4320"/>
          </w:tcPr>
          <w:p>
            <w:r>
              <w:t>Alimentación y bebidas</w:t>
            </w:r>
          </w:p>
        </w:tc>
        <w:tc>
          <w:tcPr>
            <w:tcW w:type="dxa" w:w="4320"/>
          </w:tcPr>
          <w:p>
            <w:r>
              <w:t>0.48%</w:t>
            </w:r>
          </w:p>
        </w:tc>
      </w:tr>
      <w:tr>
        <w:tc>
          <w:tcPr>
            <w:tcW w:type="dxa" w:w="4320"/>
          </w:tcPr>
          <w:p>
            <w:r>
              <w:t>Energías renovables</w:t>
            </w:r>
          </w:p>
        </w:tc>
        <w:tc>
          <w:tcPr>
            <w:tcW w:type="dxa" w:w="4320"/>
          </w:tcPr>
          <w:p>
            <w:r>
              <w:t>0.39%</w:t>
            </w:r>
          </w:p>
        </w:tc>
      </w:tr>
      <w:tr>
        <w:tc>
          <w:tcPr>
            <w:tcW w:type="dxa" w:w="4320"/>
          </w:tcPr>
          <w:p>
            <w:r>
              <w:t>Ocio, turismo y hostelería</w:t>
            </w:r>
          </w:p>
        </w:tc>
        <w:tc>
          <w:tcPr>
            <w:tcW w:type="dxa" w:w="4320"/>
          </w:tcPr>
          <w:p>
            <w:r>
              <w:t>0.24%</w:t>
            </w:r>
          </w:p>
        </w:tc>
      </w:tr>
    </w:tbl>
    <w:p/>
    <w:p>
      <w:r>
        <w:t>En el siguiente gráfico podemos comprobar el número de empresas totales por sector</w:t>
      </w:r>
    </w:p>
    <w:p>
      <w:r>
        <w:drawing>
          <wp:inline xmlns:a="http://schemas.openxmlformats.org/drawingml/2006/main" xmlns:pic="http://schemas.openxmlformats.org/drawingml/2006/picture">
            <wp:extent cx="3600000" cy="2880000"/>
            <wp:docPr id="2" name="Picture 2"/>
            <wp:cNvGraphicFramePr>
              <a:graphicFrameLocks noChangeAspect="1"/>
            </wp:cNvGraphicFramePr>
            <a:graphic>
              <a:graphicData uri="http://schemas.openxmlformats.org/drawingml/2006/picture">
                <pic:pic>
                  <pic:nvPicPr>
                    <pic:cNvPr id="0" name="NumeroEmpresas.jpg"/>
                    <pic:cNvPicPr/>
                  </pic:nvPicPr>
                  <pic:blipFill>
                    <a:blip r:embed="rId10"/>
                    <a:stretch>
                      <a:fillRect/>
                    </a:stretch>
                  </pic:blipFill>
                  <pic:spPr>
                    <a:xfrm>
                      <a:off x="0" y="0"/>
                      <a:ext cx="3600000" cy="2880000"/>
                    </a:xfrm>
                    <a:prstGeom prst="rect"/>
                  </pic:spPr>
                </pic:pic>
              </a:graphicData>
            </a:graphic>
          </wp:inline>
        </w:drawing>
      </w:r>
    </w:p>
    <w:p/>
    <w:p>
      <w:r>
        <w:t>En el siguiente gráfico vemos las 5 ciudades donde más empresas tienen sus sedes.</w:t>
      </w:r>
    </w:p>
    <w:p>
      <w:r>
        <w:drawing>
          <wp:inline xmlns:a="http://schemas.openxmlformats.org/drawingml/2006/main" xmlns:pic="http://schemas.openxmlformats.org/drawingml/2006/picture">
            <wp:extent cx="2520000" cy="2337300"/>
            <wp:docPr id="3" name="Picture 3"/>
            <wp:cNvGraphicFramePr>
              <a:graphicFrameLocks noChangeAspect="1"/>
            </wp:cNvGraphicFramePr>
            <a:graphic>
              <a:graphicData uri="http://schemas.openxmlformats.org/drawingml/2006/picture">
                <pic:pic>
                  <pic:nvPicPr>
                    <pic:cNvPr id="0" name="Ciudades.jpg"/>
                    <pic:cNvPicPr/>
                  </pic:nvPicPr>
                  <pic:blipFill>
                    <a:blip r:embed="rId11"/>
                    <a:stretch>
                      <a:fillRect/>
                    </a:stretch>
                  </pic:blipFill>
                  <pic:spPr>
                    <a:xfrm>
                      <a:off x="0" y="0"/>
                      <a:ext cx="2520000" cy="2337300"/>
                    </a:xfrm>
                    <a:prstGeom prst="rect"/>
                  </pic:spPr>
                </pic:pic>
              </a:graphicData>
            </a:graphic>
          </wp:inline>
        </w:drawing>
      </w:r>
    </w:p>
    <w:p>
      <w:r>
        <w:t xml:space="preserve">Madrid es la ciudad donde más empresas tienen su sede, seguido de Alcobendas y Bilbao. Después le siguen Barcelona y Alicante. </w:t>
        <w:br/>
        <w:t>Posiblemente podemos encontrar distintos motivos por los que la empresas deciden establecer su sede en un punto geográfico y no otro, así las infraestructuras, la innovación tecnológica o su capital humano son factores que influyen a la hora de establecer la sede de una empresa.</w:t>
      </w:r>
    </w:p>
    <w:p>
      <w:r>
        <w:t>El Ibex se creó en 1.992, por ello no es de extrañar que nos encontremos con el año en el que más entradas se produjeron en el Ibex.</w:t>
      </w:r>
    </w:p>
    <w:p>
      <w:r>
        <w:t>En el siguiente gráfico podemos ver el número de entradas por año.</w:t>
      </w:r>
    </w:p>
    <w:p>
      <w:r>
        <w:drawing>
          <wp:inline xmlns:a="http://schemas.openxmlformats.org/drawingml/2006/main" xmlns:pic="http://schemas.openxmlformats.org/drawingml/2006/picture">
            <wp:extent cx="4320000" cy="1923504"/>
            <wp:docPr id="4" name="Picture 4"/>
            <wp:cNvGraphicFramePr>
              <a:graphicFrameLocks noChangeAspect="1"/>
            </wp:cNvGraphicFramePr>
            <a:graphic>
              <a:graphicData uri="http://schemas.openxmlformats.org/drawingml/2006/picture">
                <pic:pic>
                  <pic:nvPicPr>
                    <pic:cNvPr id="0" name="Empresa.jpg"/>
                    <pic:cNvPicPr/>
                  </pic:nvPicPr>
                  <pic:blipFill>
                    <a:blip r:embed="rId12"/>
                    <a:stretch>
                      <a:fillRect/>
                    </a:stretch>
                  </pic:blipFill>
                  <pic:spPr>
                    <a:xfrm>
                      <a:off x="0" y="0"/>
                      <a:ext cx="4320000" cy="1923504"/>
                    </a:xfrm>
                    <a:prstGeom prst="rect"/>
                  </pic:spPr>
                </pic:pic>
              </a:graphicData>
            </a:graphic>
          </wp:inline>
        </w:drawing>
      </w:r>
    </w:p>
    <w:p>
      <w:r>
        <w:t>Podemos ver una entrada en el año 1969, que probablemente sea un error publicado en la fuente de origen de los datos, Wikipedia, puesto que la creación del Ibex fue en 1.992, y por tanto el año 1969 debe ser el año de creación de la propia empresa.</w:t>
      </w:r>
    </w:p>
    <w:p>
      <w:pPr>
        <w:pStyle w:val="Heading1"/>
      </w:pPr>
      <w:r>
        <w:t>2. Análisis evolución Ibex 35</w:t>
      </w:r>
    </w:p>
    <w:p>
      <w:r>
        <w:t>En el siguiente gráfico podemos ver la evolución del Ibex 35 de los últimos 3 meses</w:t>
      </w:r>
    </w:p>
    <w:p>
      <w:r>
        <w:drawing>
          <wp:inline xmlns:a="http://schemas.openxmlformats.org/drawingml/2006/main" xmlns:pic="http://schemas.openxmlformats.org/drawingml/2006/picture">
            <wp:extent cx="4320000" cy="2341748"/>
            <wp:docPr id="5" name="Picture 5"/>
            <wp:cNvGraphicFramePr>
              <a:graphicFrameLocks noChangeAspect="1"/>
            </wp:cNvGraphicFramePr>
            <a:graphic>
              <a:graphicData uri="http://schemas.openxmlformats.org/drawingml/2006/picture">
                <pic:pic>
                  <pic:nvPicPr>
                    <pic:cNvPr id="0" name="Evolucion.jpg"/>
                    <pic:cNvPicPr/>
                  </pic:nvPicPr>
                  <pic:blipFill>
                    <a:blip r:embed="rId13"/>
                    <a:stretch>
                      <a:fillRect/>
                    </a:stretch>
                  </pic:blipFill>
                  <pic:spPr>
                    <a:xfrm>
                      <a:off x="0" y="0"/>
                      <a:ext cx="4320000" cy="2341748"/>
                    </a:xfrm>
                    <a:prstGeom prst="rect"/>
                  </pic:spPr>
                </pic:pic>
              </a:graphicData>
            </a:graphic>
          </wp:inline>
        </w:drawing>
      </w:r>
    </w:p>
    <w:p>
      <w:r>
        <w:t>La tendencia, después de meses marcados por pérdidas debido al coronavirus, es alcista. Parece que las previsiones económicas en 2021 establecen recuperaciones económicas tanto para Europa como para España, lo que inyecta confianza en los inversores.</w:t>
      </w:r>
    </w:p>
    <w:p>
      <w:r>
        <w:t>Esto se ve reflejado en las subidas experimentadas en el Ibex a lo largo de estos meses.</w:t>
      </w:r>
    </w:p>
    <w:p>
      <w:r>
        <w:t>En la siguiente tabla podemos comprobar el precio de medio de los últimos 3 meses</w:t>
      </w:r>
    </w:p>
    <w:tbl>
      <w:tblPr>
        <w:tblStyle w:val="ColorfulShading-Accent1"/>
        <w:tblW w:type="auto" w:w="0"/>
        <w:tblLook w:firstColumn="1" w:firstRow="1" w:lastColumn="0" w:lastRow="0" w:noHBand="0" w:noVBand="1" w:val="04A0"/>
      </w:tblPr>
      <w:tblGrid>
        <w:gridCol w:w="4320"/>
        <w:gridCol w:w="4320"/>
      </w:tblGrid>
      <w:tr>
        <w:tc>
          <w:tcPr>
            <w:tcW w:type="dxa" w:w="4320"/>
          </w:tcPr>
          <w:p>
            <w:r>
              <w:t>Empresas</w:t>
            </w:r>
          </w:p>
        </w:tc>
        <w:tc>
          <w:tcPr>
            <w:tcW w:type="dxa" w:w="4320"/>
          </w:tcPr>
          <w:p>
            <w:r>
              <w:t>Precio medio 3 meses</w:t>
            </w:r>
          </w:p>
        </w:tc>
      </w:tr>
      <w:tr>
        <w:tc>
          <w:tcPr>
            <w:tcW w:type="dxa" w:w="4320"/>
          </w:tcPr>
          <w:p>
            <w:r>
              <w:t>ANA.MC</w:t>
            </w:r>
          </w:p>
        </w:tc>
        <w:tc>
          <w:tcPr>
            <w:tcW w:type="dxa" w:w="4320"/>
          </w:tcPr>
          <w:p>
            <w:r>
              <w:t>27.04€</w:t>
            </w:r>
          </w:p>
        </w:tc>
      </w:tr>
      <w:tr>
        <w:tc>
          <w:tcPr>
            <w:tcW w:type="dxa" w:w="4320"/>
          </w:tcPr>
          <w:p>
            <w:r>
              <w:t>ACX.MC</w:t>
            </w:r>
          </w:p>
        </w:tc>
        <w:tc>
          <w:tcPr>
            <w:tcW w:type="dxa" w:w="4320"/>
          </w:tcPr>
          <w:p>
            <w:r>
              <w:t>11.2€</w:t>
            </w:r>
          </w:p>
        </w:tc>
      </w:tr>
      <w:tr>
        <w:tc>
          <w:tcPr>
            <w:tcW w:type="dxa" w:w="4320"/>
          </w:tcPr>
          <w:p>
            <w:r>
              <w:t>ACS.MC</w:t>
            </w:r>
          </w:p>
        </w:tc>
        <w:tc>
          <w:tcPr>
            <w:tcW w:type="dxa" w:w="4320"/>
          </w:tcPr>
          <w:p>
            <w:r>
              <w:t>141.37€</w:t>
            </w:r>
          </w:p>
        </w:tc>
      </w:tr>
      <w:tr>
        <w:tc>
          <w:tcPr>
            <w:tcW w:type="dxa" w:w="4320"/>
          </w:tcPr>
          <w:p>
            <w:r>
              <w:t>AENA.MC</w:t>
            </w:r>
          </w:p>
        </w:tc>
        <w:tc>
          <w:tcPr>
            <w:tcW w:type="dxa" w:w="4320"/>
          </w:tcPr>
          <w:p>
            <w:r>
              <w:t>12.68€</w:t>
            </w:r>
          </w:p>
        </w:tc>
      </w:tr>
      <w:tr>
        <w:tc>
          <w:tcPr>
            <w:tcW w:type="dxa" w:w="4320"/>
          </w:tcPr>
          <w:p>
            <w:r>
              <w:t>ALM.MC</w:t>
            </w:r>
          </w:p>
        </w:tc>
        <w:tc>
          <w:tcPr>
            <w:tcW w:type="dxa" w:w="4320"/>
          </w:tcPr>
          <w:p>
            <w:r>
              <w:t>59.67€</w:t>
            </w:r>
          </w:p>
        </w:tc>
      </w:tr>
      <w:tr>
        <w:tc>
          <w:tcPr>
            <w:tcW w:type="dxa" w:w="4320"/>
          </w:tcPr>
          <w:p>
            <w:r>
              <w:t>AMS.MC</w:t>
            </w:r>
          </w:p>
        </w:tc>
        <w:tc>
          <w:tcPr>
            <w:tcW w:type="dxa" w:w="4320"/>
          </w:tcPr>
          <w:p>
            <w:r>
              <w:t>137.78€</w:t>
            </w:r>
          </w:p>
        </w:tc>
      </w:tr>
      <w:tr>
        <w:tc>
          <w:tcPr>
            <w:tcW w:type="dxa" w:w="4320"/>
          </w:tcPr>
          <w:p>
            <w:r>
              <w:t>MTS.MC</w:t>
            </w:r>
          </w:p>
        </w:tc>
        <w:tc>
          <w:tcPr>
            <w:tcW w:type="dxa" w:w="4320"/>
          </w:tcPr>
          <w:p>
            <w:r>
              <w:t>4.63€</w:t>
            </w:r>
          </w:p>
        </w:tc>
      </w:tr>
      <w:tr>
        <w:tc>
          <w:tcPr>
            <w:tcW w:type="dxa" w:w="4320"/>
          </w:tcPr>
          <w:p>
            <w:r>
              <w:t>SAB.MC</w:t>
            </w:r>
          </w:p>
        </w:tc>
        <w:tc>
          <w:tcPr>
            <w:tcW w:type="dxa" w:w="4320"/>
          </w:tcPr>
          <w:p>
            <w:r>
              <w:t>5.38€</w:t>
            </w:r>
          </w:p>
        </w:tc>
      </w:tr>
      <w:tr>
        <w:tc>
          <w:tcPr>
            <w:tcW w:type="dxa" w:w="4320"/>
          </w:tcPr>
          <w:p>
            <w:r>
              <w:t>SAN.MC</w:t>
            </w:r>
          </w:p>
        </w:tc>
        <w:tc>
          <w:tcPr>
            <w:tcW w:type="dxa" w:w="4320"/>
          </w:tcPr>
          <w:p>
            <w:r>
              <w:t>2.61€</w:t>
            </w:r>
          </w:p>
        </w:tc>
      </w:tr>
      <w:tr>
        <w:tc>
          <w:tcPr>
            <w:tcW w:type="dxa" w:w="4320"/>
          </w:tcPr>
          <w:p>
            <w:r>
              <w:t>BKT.MC</w:t>
            </w:r>
          </w:p>
        </w:tc>
        <w:tc>
          <w:tcPr>
            <w:tcW w:type="dxa" w:w="4320"/>
          </w:tcPr>
          <w:p>
            <w:r>
              <w:t>23.21€</w:t>
            </w:r>
          </w:p>
        </w:tc>
      </w:tr>
      <w:tr>
        <w:tc>
          <w:tcPr>
            <w:tcW w:type="dxa" w:w="4320"/>
          </w:tcPr>
          <w:p>
            <w:r>
              <w:t>BBVA.MC</w:t>
            </w:r>
          </w:p>
        </w:tc>
        <w:tc>
          <w:tcPr>
            <w:tcW w:type="dxa" w:w="4320"/>
          </w:tcPr>
          <w:p>
            <w:r>
              <w:t>45.2€</w:t>
            </w:r>
          </w:p>
        </w:tc>
      </w:tr>
      <w:tr>
        <w:tc>
          <w:tcPr>
            <w:tcW w:type="dxa" w:w="4320"/>
          </w:tcPr>
          <w:p>
            <w:r>
              <w:t>CABK.MC</w:t>
            </w:r>
          </w:p>
        </w:tc>
        <w:tc>
          <w:tcPr>
            <w:tcW w:type="dxa" w:w="4320"/>
          </w:tcPr>
          <w:p>
            <w:r>
              <w:t>8.45€</w:t>
            </w:r>
          </w:p>
        </w:tc>
      </w:tr>
      <w:tr>
        <w:tc>
          <w:tcPr>
            <w:tcW w:type="dxa" w:w="4320"/>
          </w:tcPr>
          <w:p>
            <w:r>
              <w:t>CLNX.MC</w:t>
            </w:r>
          </w:p>
        </w:tc>
        <w:tc>
          <w:tcPr>
            <w:tcW w:type="dxa" w:w="4320"/>
          </w:tcPr>
          <w:p>
            <w:r>
              <w:t>22.22€</w:t>
            </w:r>
          </w:p>
        </w:tc>
      </w:tr>
      <w:tr>
        <w:tc>
          <w:tcPr>
            <w:tcW w:type="dxa" w:w="4320"/>
          </w:tcPr>
          <w:p>
            <w:r>
              <w:t>CIE.MC</w:t>
            </w:r>
          </w:p>
        </w:tc>
        <w:tc>
          <w:tcPr>
            <w:tcW w:type="dxa" w:w="4320"/>
          </w:tcPr>
          <w:p>
            <w:r>
              <w:t>18.38€</w:t>
            </w:r>
          </w:p>
        </w:tc>
      </w:tr>
      <w:tr>
        <w:tc>
          <w:tcPr>
            <w:tcW w:type="dxa" w:w="4320"/>
          </w:tcPr>
          <w:p>
            <w:r>
              <w:t>ENG.MC</w:t>
            </w:r>
          </w:p>
        </w:tc>
        <w:tc>
          <w:tcPr>
            <w:tcW w:type="dxa" w:w="4320"/>
          </w:tcPr>
          <w:p>
            <w:r>
              <w:t>27.15€</w:t>
            </w:r>
          </w:p>
        </w:tc>
      </w:tr>
      <w:tr>
        <w:tc>
          <w:tcPr>
            <w:tcW w:type="dxa" w:w="4320"/>
          </w:tcPr>
          <w:p>
            <w:r>
              <w:t>ELE.MC</w:t>
            </w:r>
          </w:p>
        </w:tc>
        <w:tc>
          <w:tcPr>
            <w:tcW w:type="dxa" w:w="4320"/>
          </w:tcPr>
          <w:p>
            <w:r>
              <w:t>22.63€</w:t>
            </w:r>
          </w:p>
        </w:tc>
      </w:tr>
      <w:tr>
        <w:tc>
          <w:tcPr>
            <w:tcW w:type="dxa" w:w="4320"/>
          </w:tcPr>
          <w:p>
            <w:r>
              <w:t>FER.MC</w:t>
            </w:r>
          </w:p>
        </w:tc>
        <w:tc>
          <w:tcPr>
            <w:tcW w:type="dxa" w:w="4320"/>
          </w:tcPr>
          <w:p>
            <w:r>
              <w:t>22.52€</w:t>
            </w:r>
          </w:p>
        </w:tc>
      </w:tr>
      <w:tr>
        <w:tc>
          <w:tcPr>
            <w:tcW w:type="dxa" w:w="4320"/>
          </w:tcPr>
          <w:p>
            <w:r>
              <w:t>FDR.MC</w:t>
            </w:r>
          </w:p>
        </w:tc>
        <w:tc>
          <w:tcPr>
            <w:tcW w:type="dxa" w:w="4320"/>
          </w:tcPr>
          <w:p>
            <w:r>
              <w:t>2.36€</w:t>
            </w:r>
          </w:p>
        </w:tc>
      </w:tr>
      <w:tr>
        <w:tc>
          <w:tcPr>
            <w:tcW w:type="dxa" w:w="4320"/>
          </w:tcPr>
          <w:p>
            <w:r>
              <w:t>GRF.MC</w:t>
            </w:r>
          </w:p>
        </w:tc>
        <w:tc>
          <w:tcPr>
            <w:tcW w:type="dxa" w:w="4320"/>
          </w:tcPr>
          <w:p>
            <w:r>
              <w:t>11.14€</w:t>
            </w:r>
          </w:p>
        </w:tc>
      </w:tr>
      <w:tr>
        <w:tc>
          <w:tcPr>
            <w:tcW w:type="dxa" w:w="4320"/>
          </w:tcPr>
          <w:p>
            <w:r>
              <w:t>IAG.MC</w:t>
            </w:r>
          </w:p>
        </w:tc>
        <w:tc>
          <w:tcPr>
            <w:tcW w:type="dxa" w:w="4320"/>
          </w:tcPr>
          <w:p>
            <w:r>
              <w:t>7.76€</w:t>
            </w:r>
          </w:p>
        </w:tc>
      </w:tr>
      <w:tr>
        <w:tc>
          <w:tcPr>
            <w:tcW w:type="dxa" w:w="4320"/>
          </w:tcPr>
          <w:p>
            <w:r>
              <w:t>IBE.MC</w:t>
            </w:r>
          </w:p>
        </w:tc>
        <w:tc>
          <w:tcPr>
            <w:tcW w:type="dxa" w:w="4320"/>
          </w:tcPr>
          <w:p>
            <w:r>
              <w:t>29.38€</w:t>
            </w:r>
          </w:p>
        </w:tc>
      </w:tr>
      <w:tr>
        <w:tc>
          <w:tcPr>
            <w:tcW w:type="dxa" w:w="4320"/>
          </w:tcPr>
          <w:p>
            <w:r>
              <w:t>ITX.MC</w:t>
            </w:r>
          </w:p>
        </w:tc>
        <w:tc>
          <w:tcPr>
            <w:tcW w:type="dxa" w:w="4320"/>
          </w:tcPr>
          <w:p>
            <w:r>
              <w:t>1.72€</w:t>
            </w:r>
          </w:p>
        </w:tc>
      </w:tr>
      <w:tr>
        <w:tc>
          <w:tcPr>
            <w:tcW w:type="dxa" w:w="4320"/>
          </w:tcPr>
          <w:p>
            <w:r>
              <w:t>IDR.MC</w:t>
            </w:r>
          </w:p>
        </w:tc>
        <w:tc>
          <w:tcPr>
            <w:tcW w:type="dxa" w:w="4320"/>
          </w:tcPr>
          <w:p>
            <w:r>
              <w:t>6.79€</w:t>
            </w:r>
          </w:p>
        </w:tc>
      </w:tr>
      <w:tr>
        <w:tc>
          <w:tcPr>
            <w:tcW w:type="dxa" w:w="4320"/>
          </w:tcPr>
          <w:p>
            <w:r>
              <w:t>COL.MC</w:t>
            </w:r>
          </w:p>
        </w:tc>
        <w:tc>
          <w:tcPr>
            <w:tcW w:type="dxa" w:w="4320"/>
          </w:tcPr>
          <w:p>
            <w:r>
              <w:t>8.79€</w:t>
            </w:r>
          </w:p>
        </w:tc>
      </w:tr>
      <w:tr>
        <w:tc>
          <w:tcPr>
            <w:tcW w:type="dxa" w:w="4320"/>
          </w:tcPr>
          <w:p>
            <w:r>
              <w:t>MAP.MC</w:t>
            </w:r>
          </w:p>
        </w:tc>
        <w:tc>
          <w:tcPr>
            <w:tcW w:type="dxa" w:w="4320"/>
          </w:tcPr>
          <w:p>
            <w:r>
              <w:t>24.19€</w:t>
            </w:r>
          </w:p>
        </w:tc>
      </w:tr>
      <w:tr>
        <w:tc>
          <w:tcPr>
            <w:tcW w:type="dxa" w:w="4320"/>
          </w:tcPr>
          <w:p>
            <w:r>
              <w:t>MEL.MC</w:t>
            </w:r>
          </w:p>
        </w:tc>
        <w:tc>
          <w:tcPr>
            <w:tcW w:type="dxa" w:w="4320"/>
          </w:tcPr>
          <w:p>
            <w:r>
              <w:t>21.04€</w:t>
            </w:r>
          </w:p>
        </w:tc>
      </w:tr>
      <w:tr>
        <w:tc>
          <w:tcPr>
            <w:tcW w:type="dxa" w:w="4320"/>
          </w:tcPr>
          <w:p>
            <w:r>
              <w:t>MRL.MC</w:t>
            </w:r>
          </w:p>
        </w:tc>
        <w:tc>
          <w:tcPr>
            <w:tcW w:type="dxa" w:w="4320"/>
          </w:tcPr>
          <w:p>
            <w:r>
              <w:t>93.36€</w:t>
            </w:r>
          </w:p>
        </w:tc>
      </w:tr>
      <w:tr>
        <w:tc>
          <w:tcPr>
            <w:tcW w:type="dxa" w:w="4320"/>
          </w:tcPr>
          <w:p>
            <w:r>
              <w:t>NTGY.MC</w:t>
            </w:r>
          </w:p>
        </w:tc>
        <w:tc>
          <w:tcPr>
            <w:tcW w:type="dxa" w:w="4320"/>
          </w:tcPr>
          <w:p>
            <w:r>
              <w:t>15.13€</w:t>
            </w:r>
          </w:p>
        </w:tc>
      </w:tr>
      <w:tr>
        <w:tc>
          <w:tcPr>
            <w:tcW w:type="dxa" w:w="4320"/>
          </w:tcPr>
          <w:p>
            <w:r>
              <w:t>PHM.MC</w:t>
            </w:r>
          </w:p>
        </w:tc>
        <w:tc>
          <w:tcPr>
            <w:tcW w:type="dxa" w:w="4320"/>
          </w:tcPr>
          <w:p>
            <w:r>
              <w:t>10.61€</w:t>
            </w:r>
          </w:p>
        </w:tc>
      </w:tr>
      <w:tr>
        <w:tc>
          <w:tcPr>
            <w:tcW w:type="dxa" w:w="4320"/>
          </w:tcPr>
          <w:p>
            <w:r>
              <w:t>REE.MC</w:t>
            </w:r>
          </w:p>
        </w:tc>
        <w:tc>
          <w:tcPr>
            <w:tcW w:type="dxa" w:w="4320"/>
          </w:tcPr>
          <w:p>
            <w:r>
              <w:t>0.52€</w:t>
            </w:r>
          </w:p>
        </w:tc>
      </w:tr>
      <w:tr>
        <w:tc>
          <w:tcPr>
            <w:tcW w:type="dxa" w:w="4320"/>
          </w:tcPr>
          <w:p>
            <w:r>
              <w:t>REP.MC</w:t>
            </w:r>
          </w:p>
        </w:tc>
        <w:tc>
          <w:tcPr>
            <w:tcW w:type="dxa" w:w="4320"/>
          </w:tcPr>
          <w:p>
            <w:r>
              <w:t>3.03€</w:t>
            </w:r>
          </w:p>
        </w:tc>
      </w:tr>
      <w:tr>
        <w:tc>
          <w:tcPr>
            <w:tcW w:type="dxa" w:w="4320"/>
          </w:tcPr>
          <w:p>
            <w:r>
              <w:t>SGRE.MC</w:t>
            </w:r>
          </w:p>
        </w:tc>
        <w:tc>
          <w:tcPr>
            <w:tcW w:type="dxa" w:w="4320"/>
          </w:tcPr>
          <w:p>
            <w:r>
              <w:t>28.86€</w:t>
            </w:r>
          </w:p>
        </w:tc>
      </w:tr>
      <w:tr>
        <w:tc>
          <w:tcPr>
            <w:tcW w:type="dxa" w:w="4320"/>
          </w:tcPr>
          <w:p>
            <w:r>
              <w:t>SLR.MC</w:t>
            </w:r>
          </w:p>
        </w:tc>
        <w:tc>
          <w:tcPr>
            <w:tcW w:type="dxa" w:w="4320"/>
          </w:tcPr>
          <w:p>
            <w:r>
              <w:t>17.31€</w:t>
            </w:r>
          </w:p>
        </w:tc>
      </w:tr>
      <w:tr>
        <w:tc>
          <w:tcPr>
            <w:tcW w:type="dxa" w:w="4320"/>
          </w:tcPr>
          <w:p>
            <w:r>
              <w:t>TEF.MC</w:t>
            </w:r>
          </w:p>
        </w:tc>
        <w:tc>
          <w:tcPr>
            <w:tcW w:type="dxa" w:w="4320"/>
          </w:tcPr>
          <w:p>
            <w:r>
              <w:t>3.91€</w:t>
            </w:r>
          </w:p>
        </w:tc>
      </w:tr>
      <w:tr>
        <w:tc>
          <w:tcPr>
            <w:tcW w:type="dxa" w:w="4320"/>
          </w:tcPr>
          <w:p>
            <w:r>
              <w:t>VIS.MC</w:t>
            </w:r>
          </w:p>
        </w:tc>
        <w:tc>
          <w:tcPr>
            <w:tcW w:type="dxa" w:w="4320"/>
          </w:tcPr>
          <w:p>
            <w:r>
              <w:t>58.17€</w:t>
            </w:r>
          </w:p>
        </w:tc>
      </w:tr>
    </w:tbl>
    <w:p/>
    <w:p>
      <w:r>
        <w:t>No todos los valores sufren las mismas variaciones. Para saber si los valores oscilan mucho en precios, podemos calcular la desviación típica que nos dará una idea de cómo han variado en precio durante los últimos 3 meses.</w:t>
      </w:r>
    </w:p>
    <w:p/>
    <w:p/>
    <w:p>
      <w:r>
        <w:t>En la siguiente tabla, podemos ver la variación del Ibex en primer lugar, seguido de los 4 valores que más variaciones han sufrido en estos meses:</w:t>
      </w:r>
    </w:p>
    <w:tbl>
      <w:tblPr>
        <w:tblStyle w:val="ColorfulShading-Accent1"/>
        <w:tblW w:type="auto" w:w="0"/>
        <w:tblLook w:firstColumn="1" w:firstRow="1" w:lastColumn="0" w:lastRow="0" w:noHBand="0" w:noVBand="1" w:val="04A0"/>
      </w:tblPr>
      <w:tblGrid>
        <w:gridCol w:w="4320"/>
        <w:gridCol w:w="4320"/>
      </w:tblGrid>
      <w:tr>
        <w:tc>
          <w:tcPr>
            <w:tcW w:type="dxa" w:w="4320"/>
          </w:tcPr>
          <w:p>
            <w:r>
              <w:t>Empresas</w:t>
            </w:r>
          </w:p>
        </w:tc>
        <w:tc>
          <w:tcPr>
            <w:tcW w:type="dxa" w:w="4320"/>
          </w:tcPr>
          <w:p>
            <w:r>
              <w:t>Variacion típica en 3 meses</w:t>
            </w:r>
          </w:p>
        </w:tc>
      </w:tr>
      <w:tr>
        <w:tc>
          <w:tcPr>
            <w:tcW w:type="dxa" w:w="4320"/>
          </w:tcPr>
          <w:p>
            <w:r>
              <w:t>Ibex</w:t>
            </w:r>
          </w:p>
        </w:tc>
        <w:tc>
          <w:tcPr>
            <w:tcW w:type="dxa" w:w="4320"/>
          </w:tcPr>
          <w:p>
            <w:r>
              <w:t>280.1</w:t>
            </w:r>
          </w:p>
        </w:tc>
      </w:tr>
      <w:tr>
        <w:tc>
          <w:tcPr>
            <w:tcW w:type="dxa" w:w="4320"/>
          </w:tcPr>
          <w:p>
            <w:r>
              <w:t>PHM</w:t>
            </w:r>
          </w:p>
        </w:tc>
        <w:tc>
          <w:tcPr>
            <w:tcW w:type="dxa" w:w="4320"/>
          </w:tcPr>
          <w:p>
            <w:r>
              <w:t>8.62</w:t>
            </w:r>
          </w:p>
        </w:tc>
      </w:tr>
      <w:tr>
        <w:tc>
          <w:tcPr>
            <w:tcW w:type="dxa" w:w="4320"/>
          </w:tcPr>
          <w:p>
            <w:r>
              <w:t>ANA</w:t>
            </w:r>
          </w:p>
        </w:tc>
        <w:tc>
          <w:tcPr>
            <w:tcW w:type="dxa" w:w="4320"/>
          </w:tcPr>
          <w:p>
            <w:r>
              <w:t>5.01</w:t>
            </w:r>
          </w:p>
        </w:tc>
      </w:tr>
      <w:tr>
        <w:tc>
          <w:tcPr>
            <w:tcW w:type="dxa" w:w="4320"/>
          </w:tcPr>
          <w:p>
            <w:r>
              <w:t>AENA</w:t>
            </w:r>
          </w:p>
        </w:tc>
        <w:tc>
          <w:tcPr>
            <w:tcW w:type="dxa" w:w="4320"/>
          </w:tcPr>
          <w:p>
            <w:r>
              <w:t>4.14</w:t>
            </w:r>
          </w:p>
        </w:tc>
      </w:tr>
      <w:tr>
        <w:tc>
          <w:tcPr>
            <w:tcW w:type="dxa" w:w="4320"/>
          </w:tcPr>
          <w:p>
            <w:r>
              <w:t>AMS</w:t>
            </w:r>
          </w:p>
        </w:tc>
        <w:tc>
          <w:tcPr>
            <w:tcW w:type="dxa" w:w="4320"/>
          </w:tcPr>
          <w:p>
            <w:r>
              <w:t>3.57</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