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Pruebas de integración</w:t>
      </w:r>
    </w:p>
    <w:p w:rsidR="00000000" w:rsidDel="00000000" w:rsidP="00000000" w:rsidRDefault="00000000" w:rsidRPr="00000000" w14:paraId="00000002">
      <w:pPr>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3">
      <w:pPr>
        <w:ind w:firstLine="720"/>
        <w:jc w:val="both"/>
        <w:rPr>
          <w:rFonts w:ascii="Calibri" w:cs="Calibri" w:eastAsia="Calibri" w:hAnsi="Calibri"/>
        </w:rPr>
      </w:pPr>
      <w:r w:rsidDel="00000000" w:rsidR="00000000" w:rsidRPr="00000000">
        <w:rPr>
          <w:rFonts w:ascii="Calibri" w:cs="Calibri" w:eastAsia="Calibri" w:hAnsi="Calibri"/>
          <w:rtl w:val="0"/>
        </w:rPr>
        <w:t xml:space="preserve">Las pruebas de integración son aquellas que se realizan en el desarrollo de software una vez que se han terminado las pruebas unitarias. Éstas aseguran que el funcionamiento en conjunto de todas las unidades, funciones y módulos del sistema funcionan de manera correcta. Éstas pruebas se realizan un paso antes de liberar el software, ya sea al cliente o a la competencia de pruebas para tener una base y referencia al momento de hacer pruebas de caja negra o de aceptación de usuario y es muy importante tener evidencia de que éstas se realizaron. </w:t>
      </w:r>
    </w:p>
    <w:p w:rsidR="00000000" w:rsidDel="00000000" w:rsidP="00000000" w:rsidRDefault="00000000" w:rsidRPr="00000000" w14:paraId="00000004">
      <w:pPr>
        <w:ind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005">
      <w:pPr>
        <w:numPr>
          <w:ilvl w:val="0"/>
          <w:numId w:val="1"/>
        </w:numPr>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Liberación 1</w:t>
      </w:r>
    </w:p>
    <w:p w:rsidR="00000000" w:rsidDel="00000000" w:rsidP="00000000" w:rsidRDefault="00000000" w:rsidRPr="00000000" w14:paraId="00000006">
      <w:pPr>
        <w:jc w:val="both"/>
        <w:rPr>
          <w:rFonts w:ascii="Calibri" w:cs="Calibri" w:eastAsia="Calibri" w:hAnsi="Calibri"/>
        </w:rPr>
      </w:pPr>
      <w:r w:rsidDel="00000000" w:rsidR="00000000" w:rsidRPr="00000000">
        <w:rPr>
          <w:rFonts w:ascii="Calibri" w:cs="Calibri" w:eastAsia="Calibri" w:hAnsi="Calibri"/>
          <w:rtl w:val="0"/>
        </w:rPr>
        <w:tab/>
        <w:t xml:space="preserve">En la primera liberación del 8 de septiembre, la cual únicamente contenía las funcionalidades de Convertidor analógico y digital y PWM, las pruebas de integración fueron relativamente cortas y sencillas. A continuación se muestra la evidencia de las pruebas realizadas:</w:t>
      </w:r>
    </w:p>
    <w:p w:rsidR="00000000" w:rsidDel="00000000" w:rsidP="00000000" w:rsidRDefault="00000000" w:rsidRPr="00000000" w14:paraId="0000000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419100"/>
            <wp:effectExtent b="0" l="0" r="0" t="0"/>
            <wp:docPr id="1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40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Figura 1. </w:t>
      </w:r>
      <w:r w:rsidDel="00000000" w:rsidR="00000000" w:rsidRPr="00000000">
        <w:rPr>
          <w:rFonts w:ascii="Calibri" w:cs="Calibri" w:eastAsia="Calibri" w:hAnsi="Calibri"/>
          <w:sz w:val="20"/>
          <w:szCs w:val="20"/>
          <w:rtl w:val="0"/>
        </w:rPr>
        <w:t xml:space="preserve">Evidencia de pruebas de integración de ADC</w:t>
      </w:r>
    </w:p>
    <w:p w:rsidR="00000000" w:rsidDel="00000000" w:rsidP="00000000" w:rsidRDefault="00000000" w:rsidRPr="00000000" w14:paraId="0000000A">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B">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314825" cy="2457450"/>
            <wp:effectExtent b="0" l="0" r="0" t="0"/>
            <wp:docPr id="9" name="image5.png"/>
            <a:graphic>
              <a:graphicData uri="http://schemas.openxmlformats.org/drawingml/2006/picture">
                <pic:pic>
                  <pic:nvPicPr>
                    <pic:cNvPr id="0" name="image5.png"/>
                    <pic:cNvPicPr preferRelativeResize="0"/>
                  </pic:nvPicPr>
                  <pic:blipFill>
                    <a:blip r:embed="rId7"/>
                    <a:srcRect b="4089" l="0" r="0" t="0"/>
                    <a:stretch>
                      <a:fillRect/>
                    </a:stretch>
                  </pic:blipFill>
                  <pic:spPr>
                    <a:xfrm>
                      <a:off x="0" y="0"/>
                      <a:ext cx="431482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Figura 2. </w:t>
      </w:r>
      <w:r w:rsidDel="00000000" w:rsidR="00000000" w:rsidRPr="00000000">
        <w:rPr>
          <w:rFonts w:ascii="Calibri" w:cs="Calibri" w:eastAsia="Calibri" w:hAnsi="Calibri"/>
          <w:sz w:val="20"/>
          <w:szCs w:val="20"/>
          <w:rtl w:val="0"/>
        </w:rPr>
        <w:t xml:space="preserve">Evidencia de pruebas de integración de PWM</w:t>
      </w:r>
    </w:p>
    <w:p w:rsidR="00000000" w:rsidDel="00000000" w:rsidP="00000000" w:rsidRDefault="00000000" w:rsidRPr="00000000" w14:paraId="0000000D">
      <w:pPr>
        <w:ind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00E">
      <w:pPr>
        <w:numPr>
          <w:ilvl w:val="0"/>
          <w:numId w:val="2"/>
        </w:numPr>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Liberación 2</w:t>
      </w:r>
    </w:p>
    <w:p w:rsidR="00000000" w:rsidDel="00000000" w:rsidP="00000000" w:rsidRDefault="00000000" w:rsidRPr="00000000" w14:paraId="0000000F">
      <w:pPr>
        <w:ind w:left="0" w:firstLine="720"/>
        <w:jc w:val="both"/>
        <w:rPr>
          <w:rFonts w:ascii="Calibri" w:cs="Calibri" w:eastAsia="Calibri" w:hAnsi="Calibri"/>
        </w:rPr>
      </w:pPr>
      <w:r w:rsidDel="00000000" w:rsidR="00000000" w:rsidRPr="00000000">
        <w:rPr>
          <w:rFonts w:ascii="Calibri" w:cs="Calibri" w:eastAsia="Calibri" w:hAnsi="Calibri"/>
          <w:rtl w:val="0"/>
        </w:rPr>
        <w:t xml:space="preserve">En la segunda liberación del 22 de septiembre,  se hicieron las pruebas de las nuevas funcionalidades, que fueron: </w:t>
      </w:r>
      <w:r w:rsidDel="00000000" w:rsidR="00000000" w:rsidRPr="00000000">
        <w:rPr>
          <w:rFonts w:ascii="Calibri" w:cs="Calibri" w:eastAsia="Calibri" w:hAnsi="Calibri"/>
          <w:i w:val="1"/>
          <w:rtl w:val="0"/>
        </w:rPr>
        <w:t xml:space="preserve">input capture </w:t>
      </w:r>
      <w:r w:rsidDel="00000000" w:rsidR="00000000" w:rsidRPr="00000000">
        <w:rPr>
          <w:rFonts w:ascii="Calibri" w:cs="Calibri" w:eastAsia="Calibri" w:hAnsi="Calibri"/>
          <w:rtl w:val="0"/>
        </w:rPr>
        <w:t xml:space="preserve">e interrupción de 100 ms, además de asegurar que las anteriores siguieran funcionando. </w:t>
      </w:r>
    </w:p>
    <w:p w:rsidR="00000000" w:rsidDel="00000000" w:rsidP="00000000" w:rsidRDefault="00000000" w:rsidRPr="00000000" w14:paraId="00000010">
      <w:pPr>
        <w:ind w:left="0"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011">
      <w:pPr>
        <w:ind w:left="0" w:firstLine="72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810125" cy="1504950"/>
            <wp:effectExtent b="0" l="0" r="0" t="0"/>
            <wp:docPr id="2" name="image6.png"/>
            <a:graphic>
              <a:graphicData uri="http://schemas.openxmlformats.org/drawingml/2006/picture">
                <pic:pic>
                  <pic:nvPicPr>
                    <pic:cNvPr id="0" name="image6.png"/>
                    <pic:cNvPicPr preferRelativeResize="0"/>
                  </pic:nvPicPr>
                  <pic:blipFill>
                    <a:blip r:embed="rId8"/>
                    <a:srcRect b="0" l="0" r="0" t="5389"/>
                    <a:stretch>
                      <a:fillRect/>
                    </a:stretch>
                  </pic:blipFill>
                  <pic:spPr>
                    <a:xfrm>
                      <a:off x="0" y="0"/>
                      <a:ext cx="481012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rFonts w:ascii="Calibri" w:cs="Calibri" w:eastAsia="Calibri" w:hAnsi="Calibri"/>
          <w:i w:val="1"/>
          <w:sz w:val="20"/>
          <w:szCs w:val="20"/>
        </w:rPr>
      </w:pPr>
      <w:r w:rsidDel="00000000" w:rsidR="00000000" w:rsidRPr="00000000">
        <w:rPr>
          <w:rFonts w:ascii="Calibri" w:cs="Calibri" w:eastAsia="Calibri" w:hAnsi="Calibri"/>
          <w:b w:val="1"/>
          <w:sz w:val="20"/>
          <w:szCs w:val="20"/>
          <w:rtl w:val="0"/>
        </w:rPr>
        <w:t xml:space="preserve">Figura 3. </w:t>
      </w:r>
      <w:r w:rsidDel="00000000" w:rsidR="00000000" w:rsidRPr="00000000">
        <w:rPr>
          <w:rFonts w:ascii="Calibri" w:cs="Calibri" w:eastAsia="Calibri" w:hAnsi="Calibri"/>
          <w:sz w:val="20"/>
          <w:szCs w:val="20"/>
          <w:rtl w:val="0"/>
        </w:rPr>
        <w:t xml:space="preserve">Evidencia de pruebas lectura del </w:t>
      </w:r>
      <w:r w:rsidDel="00000000" w:rsidR="00000000" w:rsidRPr="00000000">
        <w:rPr>
          <w:rFonts w:ascii="Calibri" w:cs="Calibri" w:eastAsia="Calibri" w:hAnsi="Calibri"/>
          <w:i w:val="1"/>
          <w:sz w:val="20"/>
          <w:szCs w:val="20"/>
          <w:rtl w:val="0"/>
        </w:rPr>
        <w:t xml:space="preserve">input capture</w:t>
      </w:r>
    </w:p>
    <w:p w:rsidR="00000000" w:rsidDel="00000000" w:rsidP="00000000" w:rsidRDefault="00000000" w:rsidRPr="00000000" w14:paraId="00000013">
      <w:pPr>
        <w:jc w:val="cente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14">
      <w:pPr>
        <w:spacing w:line="276" w:lineRule="auto"/>
        <w:ind w:firstLine="720"/>
        <w:jc w:val="both"/>
        <w:rPr>
          <w:rFonts w:ascii="Calibri" w:cs="Calibri" w:eastAsia="Calibri" w:hAnsi="Calibri"/>
          <w:sz w:val="20"/>
          <w:szCs w:val="20"/>
        </w:rPr>
      </w:pPr>
      <w:r w:rsidDel="00000000" w:rsidR="00000000" w:rsidRPr="00000000">
        <w:rPr>
          <w:rFonts w:ascii="Calibri" w:cs="Calibri" w:eastAsia="Calibri" w:hAnsi="Calibri"/>
        </w:rPr>
        <w:drawing>
          <wp:inline distB="114300" distT="114300" distL="114300" distR="114300">
            <wp:extent cx="4514850" cy="2562225"/>
            <wp:effectExtent b="0" l="0" r="0" t="0"/>
            <wp:docPr id="1" name="image1.png"/>
            <a:graphic>
              <a:graphicData uri="http://schemas.openxmlformats.org/drawingml/2006/picture">
                <pic:pic>
                  <pic:nvPicPr>
                    <pic:cNvPr id="0" name="image1.png"/>
                    <pic:cNvPicPr preferRelativeResize="0"/>
                  </pic:nvPicPr>
                  <pic:blipFill>
                    <a:blip r:embed="rId9"/>
                    <a:srcRect b="3928" l="0" r="0" t="0"/>
                    <a:stretch>
                      <a:fillRect/>
                    </a:stretch>
                  </pic:blipFill>
                  <pic:spPr>
                    <a:xfrm>
                      <a:off x="0" y="0"/>
                      <a:ext cx="451485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Figura 4. </w:t>
      </w:r>
      <w:r w:rsidDel="00000000" w:rsidR="00000000" w:rsidRPr="00000000">
        <w:rPr>
          <w:rFonts w:ascii="Calibri" w:cs="Calibri" w:eastAsia="Calibri" w:hAnsi="Calibri"/>
          <w:sz w:val="20"/>
          <w:szCs w:val="20"/>
          <w:rtl w:val="0"/>
        </w:rPr>
        <w:t xml:space="preserve">Evidencia de interrupción cada 100 ms</w:t>
      </w:r>
    </w:p>
    <w:p w:rsidR="00000000" w:rsidDel="00000000" w:rsidP="00000000" w:rsidRDefault="00000000" w:rsidRPr="00000000" w14:paraId="00000016">
      <w:pPr>
        <w:jc w:val="cente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17">
      <w:pPr>
        <w:rPr>
          <w:rFonts w:ascii="Calibri" w:cs="Calibri" w:eastAsia="Calibri" w:hAnsi="Calibri"/>
        </w:rPr>
      </w:pPr>
      <w:r w:rsidDel="00000000" w:rsidR="00000000" w:rsidRPr="00000000">
        <w:rPr>
          <w:rtl w:val="0"/>
        </w:rPr>
      </w:r>
    </w:p>
    <w:p w:rsidR="00000000" w:rsidDel="00000000" w:rsidP="00000000" w:rsidRDefault="00000000" w:rsidRPr="00000000" w14:paraId="00000018">
      <w:pPr>
        <w:numPr>
          <w:ilvl w:val="0"/>
          <w:numId w:val="2"/>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Liberación 3</w:t>
      </w:r>
    </w:p>
    <w:p w:rsidR="00000000" w:rsidDel="00000000" w:rsidP="00000000" w:rsidRDefault="00000000" w:rsidRPr="00000000" w14:paraId="00000019">
      <w:pPr>
        <w:ind w:left="0" w:firstLine="720"/>
        <w:jc w:val="both"/>
        <w:rPr>
          <w:rFonts w:ascii="Calibri" w:cs="Calibri" w:eastAsia="Calibri" w:hAnsi="Calibri"/>
        </w:rPr>
      </w:pPr>
      <w:r w:rsidDel="00000000" w:rsidR="00000000" w:rsidRPr="00000000">
        <w:rPr>
          <w:rFonts w:ascii="Calibri" w:cs="Calibri" w:eastAsia="Calibri" w:hAnsi="Calibri"/>
          <w:rtl w:val="0"/>
        </w:rPr>
        <w:t xml:space="preserve">En la tercera liberación del 6 de octubre,  se incorporaron las funcionalidades de: control del sistema en lazo cerrado, cálculo de velocidad, comunicación con la interfaz gráfica y creación de hilos para la división de tareas.</w:t>
      </w:r>
    </w:p>
    <w:p w:rsidR="00000000" w:rsidDel="00000000" w:rsidP="00000000" w:rsidRDefault="00000000" w:rsidRPr="00000000" w14:paraId="0000001A">
      <w:pPr>
        <w:ind w:left="0"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01B">
      <w:pPr>
        <w:ind w:left="0" w:firstLine="72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9144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40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Figura 5. </w:t>
      </w:r>
      <w:r w:rsidDel="00000000" w:rsidR="00000000" w:rsidRPr="00000000">
        <w:rPr>
          <w:rFonts w:ascii="Calibri" w:cs="Calibri" w:eastAsia="Calibri" w:hAnsi="Calibri"/>
          <w:sz w:val="20"/>
          <w:szCs w:val="20"/>
          <w:rtl w:val="0"/>
        </w:rPr>
        <w:t xml:space="preserve">Evidencia de la respuesta de control del sistema</w:t>
      </w:r>
    </w:p>
    <w:p w:rsidR="00000000" w:rsidDel="00000000" w:rsidP="00000000" w:rsidRDefault="00000000" w:rsidRPr="00000000" w14:paraId="0000001D">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E">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F">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0">
      <w:pPr>
        <w:jc w:val="cente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1795618" cy="2519363"/>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795618" cy="2519363"/>
                    </a:xfrm>
                    <a:prstGeom prst="rect"/>
                    <a:ln/>
                  </pic:spPr>
                </pic:pic>
              </a:graphicData>
            </a:graphic>
          </wp:inline>
        </w:drawing>
      </w:r>
      <w:r w:rsidDel="00000000" w:rsidR="00000000" w:rsidRPr="00000000">
        <w:rPr>
          <w:rFonts w:ascii="Calibri" w:cs="Calibri" w:eastAsia="Calibri" w:hAnsi="Calibri"/>
          <w:sz w:val="20"/>
          <w:szCs w:val="20"/>
          <w:rtl w:val="0"/>
        </w:rPr>
        <w:tab/>
      </w:r>
      <w:r w:rsidDel="00000000" w:rsidR="00000000" w:rsidRPr="00000000">
        <w:rPr>
          <w:rFonts w:ascii="Calibri" w:cs="Calibri" w:eastAsia="Calibri" w:hAnsi="Calibri"/>
          <w:sz w:val="20"/>
          <w:szCs w:val="20"/>
        </w:rPr>
        <w:drawing>
          <wp:inline distB="114300" distT="114300" distL="114300" distR="114300">
            <wp:extent cx="1828097" cy="2500313"/>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828097"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Figuras 6 y 7. </w:t>
      </w:r>
      <w:r w:rsidDel="00000000" w:rsidR="00000000" w:rsidRPr="00000000">
        <w:rPr>
          <w:rFonts w:ascii="Calibri" w:cs="Calibri" w:eastAsia="Calibri" w:hAnsi="Calibri"/>
          <w:sz w:val="20"/>
          <w:szCs w:val="20"/>
          <w:rtl w:val="0"/>
        </w:rPr>
        <w:t xml:space="preserve">Evidencia de la inicialización de la comunicación con la interfaz gráfica</w:t>
      </w:r>
    </w:p>
    <w:p w:rsidR="00000000" w:rsidDel="00000000" w:rsidP="00000000" w:rsidRDefault="00000000" w:rsidRPr="00000000" w14:paraId="00000022">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3">
      <w:pPr>
        <w:jc w:val="cente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5734050" cy="22860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40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Figura 8. </w:t>
      </w:r>
      <w:r w:rsidDel="00000000" w:rsidR="00000000" w:rsidRPr="00000000">
        <w:rPr>
          <w:rFonts w:ascii="Calibri" w:cs="Calibri" w:eastAsia="Calibri" w:hAnsi="Calibri"/>
          <w:sz w:val="20"/>
          <w:szCs w:val="20"/>
          <w:rtl w:val="0"/>
        </w:rPr>
        <w:t xml:space="preserve">Evidencia de la creación de hilos</w:t>
      </w:r>
    </w:p>
    <w:p w:rsidR="00000000" w:rsidDel="00000000" w:rsidP="00000000" w:rsidRDefault="00000000" w:rsidRPr="00000000" w14:paraId="00000025">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6">
      <w:pPr>
        <w:numPr>
          <w:ilvl w:val="0"/>
          <w:numId w:val="2"/>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Liberación 4</w:t>
      </w:r>
    </w:p>
    <w:p w:rsidR="00000000" w:rsidDel="00000000" w:rsidP="00000000" w:rsidRDefault="00000000" w:rsidRPr="00000000" w14:paraId="00000027">
      <w:pPr>
        <w:ind w:firstLine="720"/>
        <w:jc w:val="both"/>
        <w:rPr>
          <w:rFonts w:ascii="Calibri" w:cs="Calibri" w:eastAsia="Calibri" w:hAnsi="Calibri"/>
        </w:rPr>
      </w:pPr>
      <w:r w:rsidDel="00000000" w:rsidR="00000000" w:rsidRPr="00000000">
        <w:rPr>
          <w:rFonts w:ascii="Calibri" w:cs="Calibri" w:eastAsia="Calibri" w:hAnsi="Calibri"/>
          <w:rtl w:val="0"/>
        </w:rPr>
        <w:t xml:space="preserve">En la cuarta y última liberación del 20 de octubre,  se incorporaron las funcionalidades de: diagnósticos y finalización de la comunicación con la interfaz gráfica. </w:t>
      </w:r>
    </w:p>
    <w:p w:rsidR="00000000" w:rsidDel="00000000" w:rsidP="00000000" w:rsidRDefault="00000000" w:rsidRPr="00000000" w14:paraId="00000028">
      <w:pPr>
        <w:ind w:firstLine="72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727459" cy="2281238"/>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727459"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Figura 9. </w:t>
      </w:r>
      <w:r w:rsidDel="00000000" w:rsidR="00000000" w:rsidRPr="00000000">
        <w:rPr>
          <w:rFonts w:ascii="Calibri" w:cs="Calibri" w:eastAsia="Calibri" w:hAnsi="Calibri"/>
          <w:sz w:val="20"/>
          <w:szCs w:val="20"/>
          <w:rtl w:val="0"/>
        </w:rPr>
        <w:t xml:space="preserve">Evidencia de diagnósticos</w:t>
      </w:r>
    </w:p>
    <w:p w:rsidR="00000000" w:rsidDel="00000000" w:rsidP="00000000" w:rsidRDefault="00000000" w:rsidRPr="00000000" w14:paraId="0000002A">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Pr>
        <w:drawing>
          <wp:inline distB="114300" distT="114300" distL="114300" distR="114300">
            <wp:extent cx="1908525" cy="2490788"/>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908525" cy="2490788"/>
                    </a:xfrm>
                    <a:prstGeom prst="rect"/>
                    <a:ln/>
                  </pic:spPr>
                </pic:pic>
              </a:graphicData>
            </a:graphic>
          </wp:inline>
        </w:drawing>
      </w:r>
      <w:r w:rsidDel="00000000" w:rsidR="00000000" w:rsidRPr="00000000">
        <w:rPr>
          <w:rFonts w:ascii="Calibri" w:cs="Calibri" w:eastAsia="Calibri" w:hAnsi="Calibri"/>
          <w:b w:val="1"/>
          <w:sz w:val="20"/>
          <w:szCs w:val="20"/>
          <w:rtl w:val="0"/>
        </w:rPr>
        <w:tab/>
      </w:r>
      <w:r w:rsidDel="00000000" w:rsidR="00000000" w:rsidRPr="00000000">
        <w:rPr>
          <w:rFonts w:ascii="Calibri" w:cs="Calibri" w:eastAsia="Calibri" w:hAnsi="Calibri"/>
          <w:b w:val="1"/>
          <w:sz w:val="20"/>
          <w:szCs w:val="20"/>
        </w:rPr>
        <w:drawing>
          <wp:inline distB="114300" distT="114300" distL="114300" distR="114300">
            <wp:extent cx="1808293" cy="2509838"/>
            <wp:effectExtent b="0" l="0" r="0" t="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808293"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Figuras 10 y 11. </w:t>
      </w:r>
      <w:r w:rsidDel="00000000" w:rsidR="00000000" w:rsidRPr="00000000">
        <w:rPr>
          <w:rFonts w:ascii="Calibri" w:cs="Calibri" w:eastAsia="Calibri" w:hAnsi="Calibri"/>
          <w:sz w:val="20"/>
          <w:szCs w:val="20"/>
          <w:rtl w:val="0"/>
        </w:rPr>
        <w:t xml:space="preserve">Evidencia de comunicación con la interfaz gráfica</w:t>
      </w:r>
    </w:p>
    <w:p w:rsidR="00000000" w:rsidDel="00000000" w:rsidP="00000000" w:rsidRDefault="00000000" w:rsidRPr="00000000" w14:paraId="0000002C">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D">
      <w:pPr>
        <w:ind w:firstLine="720"/>
        <w:jc w:val="center"/>
        <w:rPr>
          <w:rFonts w:ascii="Calibri" w:cs="Calibri" w:eastAsia="Calibri" w:hAnsi="Calibri"/>
        </w:rPr>
      </w:pPr>
      <w:r w:rsidDel="00000000" w:rsidR="00000000" w:rsidRPr="00000000">
        <w:rPr>
          <w:rtl w:val="0"/>
        </w:rPr>
      </w:r>
    </w:p>
    <w:p w:rsidR="00000000" w:rsidDel="00000000" w:rsidP="00000000" w:rsidRDefault="00000000" w:rsidRPr="00000000" w14:paraId="0000002E">
      <w:pPr>
        <w:ind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02F">
      <w:pPr>
        <w:ind w:left="0" w:firstLine="720"/>
        <w:rPr>
          <w:rFonts w:ascii="Calibri" w:cs="Calibri" w:eastAsia="Calibri" w:hAnsi="Calibri"/>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7.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