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Pruebas de validación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pruebas de validación en la ingeniería de software son el proceso de revisión final que verifica que el sistema producido cumple con los requisitos del cliente y que logra su cometido. Se trata de evaluar el sistema completo o una parte de este, ya sea durante o al final del desarrollo para determinar si satisface los requisitos iniciales. Éste tipo de pruebas también son conocidas como Pruebas de Aceptación de Usuario, ya que se ejecutan en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hardware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ambiante final, para asegurar que el producto no fallará en el campo.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Proyecto Integrador, se especificaron los siguientes requisitos a ser parte de las pruebas de validación.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RS-006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 interfaz gráfica debe mostrar la velocidad del motor en RPM.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RS-037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 interfaz gráfica debe mostrar el valor de referencia en RPM.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RS-014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El formato de la pantalla debe ser como el que se muestra a continuación: 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3957638" cy="8743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87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RS-015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interfaz gráfica debe mostrar el valor de referencia en porcentaje.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RS-038.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La interfaz gráfica debe mostrar un indicador cuando algún problema de la sección de diagnósticos sea detectado.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RS-023.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tener un temporizador por interrupción configurado a 100 ms.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RS-024.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El sistema debe de contar con un sistema de control de tiempo del tipo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RTO preemptive.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RS-019.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Si el Throughput es mayor al 70% del uso del CPU, deberá ser necesario dividir estados/tareas/subrutinas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**Extras: pruebas de linealidad, pruebas de paro y arranque, pruebas de comportamiento ante perturbaciones.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wbzTcpiKBAamqNehzCN2NzZGdA==">AMUW2mXWp0XTgKJDmwgjRE5n7Edwn6CXeYXkmbO5ifXUXbRidteqerpSFbgifabklXV16rh1c5KgJJUkd0vs42HHm2UK3xts5PYEXy4YVEqtOX5uSfT7Fu8=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