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8CC" w:rsidRDefault="002E053B">
      <w:r w:rsidRPr="00AD28C8">
        <w:t>Abstract (not to exceed 150 words):</w:t>
      </w:r>
      <w:r w:rsidR="00115CA6">
        <w:t xml:space="preserve"> </w:t>
      </w:r>
    </w:p>
    <w:p w:rsidR="001C0AB8" w:rsidRPr="00AD28C8" w:rsidRDefault="001C0AB8">
      <w:r>
        <w:t>The charges set by hospitals for inpatient proced</w:t>
      </w:r>
      <w:r w:rsidR="00090BC3">
        <w:t xml:space="preserve">ures lack rigorous methodology and are poorly understood by the public. </w:t>
      </w:r>
    </w:p>
    <w:p w:rsidR="00A278CC" w:rsidRPr="00AD28C8" w:rsidRDefault="00A278CC">
      <w:pPr>
        <w:rPr>
          <w:b/>
        </w:rPr>
      </w:pPr>
      <w:r w:rsidRPr="00AD28C8">
        <w:rPr>
          <w:b/>
        </w:rPr>
        <w:t>Introduction</w:t>
      </w:r>
    </w:p>
    <w:p w:rsidR="008C4A24" w:rsidRDefault="00CA2F59" w:rsidP="00557AF9">
      <w:r w:rsidRPr="00AD28C8">
        <w:t xml:space="preserve">For the uninsured and the </w:t>
      </w:r>
      <w:r w:rsidR="0078121D" w:rsidRPr="00AD28C8">
        <w:t>underinsured</w:t>
      </w:r>
      <w:r w:rsidRPr="00AD28C8">
        <w:t xml:space="preserve"> in the United States, the</w:t>
      </w:r>
      <w:r w:rsidR="00E61147" w:rsidRPr="00AD28C8">
        <w:t xml:space="preserve"> </w:t>
      </w:r>
      <w:r w:rsidR="005C7090">
        <w:t xml:space="preserve">choice to seek medical care in a </w:t>
      </w:r>
      <w:r w:rsidR="00427FE5">
        <w:t>critical</w:t>
      </w:r>
      <w:r w:rsidR="006F41FB">
        <w:t xml:space="preserve"> health emergency</w:t>
      </w:r>
      <w:r w:rsidR="005C7090">
        <w:t xml:space="preserve"> is </w:t>
      </w:r>
      <w:r w:rsidR="00371843">
        <w:t xml:space="preserve">often </w:t>
      </w:r>
      <w:r w:rsidR="005C7090">
        <w:t>one between their life, and debt</w:t>
      </w:r>
      <w:r w:rsidR="003A2BE1" w:rsidRPr="00AD28C8">
        <w:t>.</w:t>
      </w:r>
      <w:r w:rsidR="00EB1448" w:rsidRPr="00AD28C8">
        <w:rPr>
          <w:rStyle w:val="EndnoteReference"/>
        </w:rPr>
        <w:t xml:space="preserve"> </w:t>
      </w:r>
      <w:r w:rsidR="00EB1448" w:rsidRPr="00AD28C8">
        <w:rPr>
          <w:rStyle w:val="EndnoteReference"/>
        </w:rPr>
        <w:endnoteReference w:id="1"/>
      </w:r>
      <w:r w:rsidRPr="00AD28C8">
        <w:t xml:space="preserve"> </w:t>
      </w:r>
      <w:r w:rsidR="000E7B57" w:rsidRPr="00AD28C8">
        <w:t xml:space="preserve">Out of the 3 trillion dollars </w:t>
      </w:r>
      <w:r w:rsidR="004679F2" w:rsidRPr="00AD28C8">
        <w:t>spent on</w:t>
      </w:r>
      <w:r w:rsidR="000E7B57" w:rsidRPr="00AD28C8">
        <w:t xml:space="preserve"> health care in </w:t>
      </w:r>
      <w:r w:rsidR="004679F2" w:rsidRPr="00AD28C8">
        <w:t xml:space="preserve">the United States in </w:t>
      </w:r>
      <w:r w:rsidR="000E7B57" w:rsidRPr="00AD28C8">
        <w:t>2015, 338.1 billion were paid out of pocket</w:t>
      </w:r>
      <w:r w:rsidR="00222F55" w:rsidRPr="00AD28C8">
        <w:rPr>
          <w:rStyle w:val="EndnoteReference"/>
        </w:rPr>
        <w:endnoteReference w:id="2"/>
      </w:r>
      <w:r w:rsidR="00222F55" w:rsidRPr="00AD28C8">
        <w:t>, and me</w:t>
      </w:r>
      <w:r w:rsidR="00C06E5F" w:rsidRPr="00AD28C8">
        <w:t xml:space="preserve">dical bills have been implicated as a </w:t>
      </w:r>
      <w:r w:rsidR="00A2589A" w:rsidRPr="00AD28C8">
        <w:t>major</w:t>
      </w:r>
      <w:r w:rsidR="00C06E5F" w:rsidRPr="00AD28C8">
        <w:t xml:space="preserve"> cause of bankruptcy.</w:t>
      </w:r>
      <w:r w:rsidR="00C06E5F" w:rsidRPr="00AD28C8">
        <w:rPr>
          <w:rStyle w:val="EndnoteReference"/>
        </w:rPr>
        <w:endnoteReference w:id="3"/>
      </w:r>
      <w:r w:rsidR="008C4A24" w:rsidRPr="00AD28C8">
        <w:t xml:space="preserve"> </w:t>
      </w:r>
      <w:r w:rsidR="00144479" w:rsidRPr="00067897">
        <w:t>Those with medical diagnoses such as cancer have been found to be at a higher risk for bankruptcy compared to their healthy peers.</w:t>
      </w:r>
      <w:r w:rsidR="00144479" w:rsidRPr="00067897">
        <w:rPr>
          <w:rStyle w:val="EndnoteReference"/>
        </w:rPr>
        <w:endnoteReference w:id="4"/>
      </w:r>
      <w:r w:rsidR="00252CE3">
        <w:t xml:space="preserve"> </w:t>
      </w:r>
      <w:r w:rsidR="00694B52" w:rsidRPr="00AD28C8">
        <w:t xml:space="preserve">Despite the magnitude </w:t>
      </w:r>
      <w:r w:rsidR="00694B52">
        <w:t>of health care spending, and the universal need for health care, h</w:t>
      </w:r>
      <w:r w:rsidR="00A16D32">
        <w:t>ospital pricing structures are opaque</w:t>
      </w:r>
      <w:r w:rsidR="0046227A">
        <w:t>, and the way charges are constructed often remains a mystery to patients and their families</w:t>
      </w:r>
      <w:r w:rsidR="00694B52">
        <w:t>.</w:t>
      </w:r>
      <w:r w:rsidR="00091655">
        <w:rPr>
          <w:rStyle w:val="EndnoteReference"/>
        </w:rPr>
        <w:t xml:space="preserve"> </w:t>
      </w:r>
      <w:r w:rsidR="00681AE7">
        <w:t>The pricing structures generated by hospitals have been described as “chaos behind a veil of secrecy”</w:t>
      </w:r>
      <w:r w:rsidR="009E06DA">
        <w:t xml:space="preserve">, in which hospitals determine charges </w:t>
      </w:r>
      <w:r w:rsidR="00B4087E">
        <w:t xml:space="preserve">without a rigorous methodology. </w:t>
      </w:r>
      <w:r w:rsidR="00681AE7">
        <w:rPr>
          <w:rStyle w:val="EndnoteReference"/>
        </w:rPr>
        <w:endnoteReference w:id="5"/>
      </w:r>
    </w:p>
    <w:p w:rsidR="005E11D1" w:rsidRDefault="006B04AF" w:rsidP="005E11D1">
      <w:r>
        <w:t>From the moment a</w:t>
      </w:r>
      <w:r w:rsidR="0029249F">
        <w:t xml:space="preserve"> patient </w:t>
      </w:r>
      <w:r w:rsidR="005A77CA">
        <w:t xml:space="preserve">first arrives </w:t>
      </w:r>
      <w:r w:rsidR="0029249F">
        <w:t xml:space="preserve">at a hospital, the facility tracks the services rendered, equipment used, and drugs administered to treat or diagnose a patient’s conditions. </w:t>
      </w:r>
      <w:r w:rsidR="00680AA9">
        <w:t>A hospital’s</w:t>
      </w:r>
      <w:r w:rsidR="00113284">
        <w:t xml:space="preserve"> master charge list, or</w:t>
      </w:r>
      <w:r w:rsidR="00680AA9">
        <w:t xml:space="preserve"> ‘chargemaster list’</w:t>
      </w:r>
      <w:r w:rsidR="000E6C5D">
        <w:t>,</w:t>
      </w:r>
      <w:r w:rsidR="00680AA9">
        <w:t xml:space="preserve"> describes the full menu of </w:t>
      </w:r>
      <w:r w:rsidR="0080262D">
        <w:t xml:space="preserve">tens of thousands of </w:t>
      </w:r>
      <w:r w:rsidR="00680AA9">
        <w:t xml:space="preserve">procedures and goods available at a given facility, along with a price for that treatment or item. </w:t>
      </w:r>
      <w:r w:rsidR="005E11D1">
        <w:t xml:space="preserve"> </w:t>
      </w:r>
      <w:r w:rsidR="000E6C5D">
        <w:t>The</w:t>
      </w:r>
      <w:r w:rsidR="005E11D1">
        <w:t xml:space="preserve"> </w:t>
      </w:r>
      <w:r w:rsidR="00E0155E">
        <w:t xml:space="preserve">prices for the </w:t>
      </w:r>
      <w:r w:rsidR="005E11D1">
        <w:t>care and commodities used are added up to generate the total bill for the services rendered</w:t>
      </w:r>
      <w:r w:rsidR="00B16C98">
        <w:t xml:space="preserve">. </w:t>
      </w:r>
      <w:r w:rsidR="00C47F4A">
        <w:t>However, e</w:t>
      </w:r>
      <w:r w:rsidR="00B16C98">
        <w:t>ven when presented with a bill containing the full details of the items incl</w:t>
      </w:r>
      <w:r w:rsidR="007C1304">
        <w:t>uded from the chargemaster list</w:t>
      </w:r>
      <w:r w:rsidR="00B16C98">
        <w:t xml:space="preserve">, the naming conventions and significance of different </w:t>
      </w:r>
      <w:r w:rsidR="0097136F">
        <w:t xml:space="preserve">line items may be difficult or impossible for consumers to understand. </w:t>
      </w:r>
      <w:r w:rsidR="00365CF7">
        <w:t xml:space="preserve">Filled with acronyms, abbreviations, and medical jargon, the list of “services rendered” by the hospital may be unrecognizable to the patient. </w:t>
      </w:r>
      <w:r w:rsidR="00683DC1">
        <w:t xml:space="preserve">Different hospitals </w:t>
      </w:r>
      <w:r w:rsidR="00B6725E">
        <w:t>distribute</w:t>
      </w:r>
      <w:r w:rsidR="00683DC1">
        <w:t xml:space="preserve"> </w:t>
      </w:r>
      <w:r w:rsidR="001371C8">
        <w:t xml:space="preserve">revenue or </w:t>
      </w:r>
      <w:r w:rsidR="00683DC1">
        <w:t>profit margin on items used for the same procedure</w:t>
      </w:r>
      <w:r w:rsidR="0094361E">
        <w:t xml:space="preserve"> differently</w:t>
      </w:r>
      <w:r w:rsidR="00683DC1">
        <w:t xml:space="preserve">, which makes </w:t>
      </w:r>
      <w:r w:rsidR="00E62F02">
        <w:t>comparisons of</w:t>
      </w:r>
      <w:r w:rsidR="00683DC1">
        <w:t xml:space="preserve"> the “list price” of individual goods (for example, the cost of a syringe) </w:t>
      </w:r>
      <w:r w:rsidR="00E62F02">
        <w:t xml:space="preserve">less meaningful. </w:t>
      </w:r>
    </w:p>
    <w:p w:rsidR="003F32EE" w:rsidRDefault="0023680E">
      <w:r>
        <w:t>Furthermore, m</w:t>
      </w:r>
      <w:r w:rsidR="00184CED">
        <w:t>ost patients and insurance providers receive discounts that are a fraction of the supposed ‘cost’ of treatment.</w:t>
      </w:r>
      <w:r w:rsidR="005B7D3D">
        <w:t xml:space="preserve">  </w:t>
      </w:r>
      <w:r w:rsidR="00045A62">
        <w:t>Mediated by insurance and co-pays, the ‘chargemaster’ price of a hospital stay often does not reflect the amount paid by the patient.</w:t>
      </w:r>
      <w:r w:rsidR="00045A62">
        <w:t xml:space="preserve"> </w:t>
      </w:r>
      <w:r w:rsidR="00C80908">
        <w:t xml:space="preserve">Insurance companies </w:t>
      </w:r>
      <w:r w:rsidR="00632FAE">
        <w:t xml:space="preserve">and hospitals use the chargemaster list as a starting point, but </w:t>
      </w:r>
      <w:r w:rsidR="00C80908">
        <w:t xml:space="preserve">negotiate rates </w:t>
      </w:r>
      <w:r w:rsidR="002E0B29">
        <w:t>far below the full ‘list price’</w:t>
      </w:r>
      <w:r w:rsidR="003B58F6">
        <w:t xml:space="preserve">. </w:t>
      </w:r>
      <w:r w:rsidR="00A33ABE">
        <w:t xml:space="preserve">For the uninsured, </w:t>
      </w:r>
      <w:r w:rsidR="00D81F58">
        <w:t xml:space="preserve">however, </w:t>
      </w:r>
      <w:r w:rsidR="008F1B6B">
        <w:t xml:space="preserve">the chargemaster price </w:t>
      </w:r>
      <w:r w:rsidR="00D30E38">
        <w:t>is a</w:t>
      </w:r>
      <w:r w:rsidR="008F1B6B">
        <w:t xml:space="preserve"> </w:t>
      </w:r>
      <w:r w:rsidR="00D30E38">
        <w:t>more accurate reflection of the bill</w:t>
      </w:r>
      <w:r w:rsidR="008F1B6B">
        <w:t>- although some hospitals offer discounts for those paying out of pocket, those unaware or ineligible for such programs may be facing substantial debt as a result of their care.</w:t>
      </w:r>
      <w:r w:rsidR="009478DF">
        <w:t xml:space="preserve"> </w:t>
      </w:r>
      <w:r w:rsidR="003F32EE">
        <w:t xml:space="preserve">Although the number of </w:t>
      </w:r>
      <w:r w:rsidR="00DC0517">
        <w:t xml:space="preserve">uninsured has declined in recent years, </w:t>
      </w:r>
      <w:r w:rsidR="00E64FEF">
        <w:t>nearly one in ten</w:t>
      </w:r>
      <w:r w:rsidR="00DC0517">
        <w:t xml:space="preserve"> people still do not have health insurance in the United States.</w:t>
      </w:r>
      <w:r w:rsidR="005808BC" w:rsidRPr="005808BC">
        <w:rPr>
          <w:rStyle w:val="EndnoteReference"/>
        </w:rPr>
        <w:t xml:space="preserve"> </w:t>
      </w:r>
      <w:r w:rsidR="005808BC">
        <w:rPr>
          <w:rStyle w:val="EndnoteReference"/>
        </w:rPr>
        <w:endnoteReference w:id="6"/>
      </w:r>
      <w:r w:rsidR="00DC0517">
        <w:t xml:space="preserve"> </w:t>
      </w:r>
    </w:p>
    <w:p w:rsidR="00FF20E7" w:rsidRDefault="00AC29F2" w:rsidP="00FA37D5">
      <w:r>
        <w:t xml:space="preserve">When permanent residents and citizens of the United States turn 65, they become eligible for the largest insurance program in the country—Medicare. </w:t>
      </w:r>
      <w:r w:rsidR="00AD04B8">
        <w:t xml:space="preserve">Run by the </w:t>
      </w:r>
      <w:r w:rsidR="00A801BB">
        <w:t xml:space="preserve">United States government and serving </w:t>
      </w:r>
      <w:r w:rsidR="00A801BB" w:rsidRPr="00067897">
        <w:t>57 million persons</w:t>
      </w:r>
      <w:r w:rsidR="00A801BB">
        <w:t>,</w:t>
      </w:r>
      <w:r w:rsidR="00A801BB" w:rsidRPr="00067897">
        <w:rPr>
          <w:rStyle w:val="EndnoteReference"/>
        </w:rPr>
        <w:endnoteReference w:id="7"/>
      </w:r>
      <w:r w:rsidR="00AD04B8">
        <w:t xml:space="preserve"> Medicare follows an alternate process to determine how much hospitals are paid for services rendered to patients. </w:t>
      </w:r>
      <w:r w:rsidR="00FA37D5">
        <w:t>The Inpatient Prospective Payment System (IPPS) is the foundation for how Medicare determines payments to for inpatient stays, which are covered under Medica</w:t>
      </w:r>
      <w:r w:rsidR="00746299">
        <w:t xml:space="preserve">re part A. The base price for </w:t>
      </w:r>
      <w:r w:rsidR="00836C6C">
        <w:t>Medicare Severity Diagnosis Related Group (MS-DRG</w:t>
      </w:r>
      <w:r w:rsidR="00746299">
        <w:t xml:space="preserve">) </w:t>
      </w:r>
      <w:r w:rsidR="00FA37D5">
        <w:t xml:space="preserve">is supplemented </w:t>
      </w:r>
      <w:r w:rsidR="00746299">
        <w:t xml:space="preserve">to </w:t>
      </w:r>
      <w:r w:rsidR="00FA37D5">
        <w:t>account for the area’s cost of living (</w:t>
      </w:r>
      <w:r w:rsidR="00746299">
        <w:t>requiring</w:t>
      </w:r>
      <w:r w:rsidR="00FA37D5">
        <w:t xml:space="preserve"> higher staff costs), whether the hospital has a medical education program, and is utilized by a disproportionate share of low-income and uninsured patients from the surrounding community. For unusually complex </w:t>
      </w:r>
      <w:r w:rsidR="00682B5F">
        <w:t xml:space="preserve">or resource-intensive </w:t>
      </w:r>
      <w:r w:rsidR="00FA37D5">
        <w:t xml:space="preserve">cases, additional payment is </w:t>
      </w:r>
      <w:r w:rsidR="00FA37D5">
        <w:lastRenderedPageBreak/>
        <w:t>disbursed to the hospital though</w:t>
      </w:r>
      <w:r w:rsidR="00746299">
        <w:t xml:space="preserve"> t</w:t>
      </w:r>
      <w:r w:rsidR="008335B6">
        <w:t>he use of ‘outlier payments’.</w:t>
      </w:r>
      <w:r w:rsidR="0028367F">
        <w:t xml:space="preserve"> </w:t>
      </w:r>
      <w:r w:rsidR="00836C6C">
        <w:t xml:space="preserve">Through these adjustments, the Inpatient </w:t>
      </w:r>
      <w:r w:rsidR="0004122B">
        <w:t>Prospective</w:t>
      </w:r>
      <w:r w:rsidR="00836C6C">
        <w:t xml:space="preserve"> Payment System seeks to pay hospitals a fair price that will compensate</w:t>
      </w:r>
      <w:r w:rsidR="0004122B">
        <w:t xml:space="preserve"> for both the procedure, and the</w:t>
      </w:r>
      <w:r w:rsidR="00836C6C">
        <w:t xml:space="preserve"> associated overhead</w:t>
      </w:r>
      <w:r w:rsidR="0004122B">
        <w:t xml:space="preserve"> of treating the patient</w:t>
      </w:r>
      <w:r w:rsidR="00836C6C">
        <w:t>.</w:t>
      </w:r>
      <w:r w:rsidR="003C1C49">
        <w:t xml:space="preserve"> </w:t>
      </w:r>
    </w:p>
    <w:p w:rsidR="00EF3F94" w:rsidRDefault="006725E2" w:rsidP="00C60DAC">
      <w:r>
        <w:t xml:space="preserve">In May of 2013, the Center for Medicare and Medicaid Services (CMS) began to publish the Provider Utilization and Payment Data Inpatient Public Use File (Inpatient PUF). An unprecedented data release, the Inpatient PUF contains hospital-specific information on how much hospitals were compensated through Medicare’s payment system (payments) compared to the amount billed to Medicare based on chargemaster list pricing (charges) for any disease reporting group with over 10 discharges. This data set presents an opportunity to compare chargemaster pricing structures to the relatively fixed prices set by Medicare at a granular level, by disease reporting group, at each facility between the years of 2011-2014. </w:t>
      </w:r>
    </w:p>
    <w:p w:rsidR="00341F6E" w:rsidRDefault="00F9240C" w:rsidP="00C60DAC">
      <w:r>
        <w:t xml:space="preserve">Past </w:t>
      </w:r>
      <w:r w:rsidR="00DC7CC8">
        <w:t>research utilizing this</w:t>
      </w:r>
      <w:r>
        <w:t xml:space="preserve"> da</w:t>
      </w:r>
      <w:bookmarkStart w:id="0" w:name="_GoBack"/>
      <w:bookmarkEnd w:id="0"/>
      <w:r>
        <w:t xml:space="preserve">ta source </w:t>
      </w:r>
      <w:r w:rsidR="00A80816">
        <w:t>focused on associations between t</w:t>
      </w:r>
      <w:r w:rsidR="0000521A">
        <w:t>he average charges (</w:t>
      </w:r>
      <w:r w:rsidR="00396D94">
        <w:t>the chargemaster list pricing for services)</w:t>
      </w:r>
      <w:r w:rsidR="00275D75">
        <w:t xml:space="preserve"> </w:t>
      </w:r>
      <w:r w:rsidR="00B60CEA">
        <w:t>at each hospital</w:t>
      </w:r>
      <w:r w:rsidR="00DD3F5F">
        <w:t xml:space="preserve"> without using Medicare payments as a frame of reference</w:t>
      </w:r>
      <w:r w:rsidR="00396D94">
        <w:t>.</w:t>
      </w:r>
      <w:r w:rsidR="000D7274">
        <w:rPr>
          <w:rStyle w:val="EndnoteReference"/>
        </w:rPr>
        <w:endnoteReference w:id="8"/>
      </w:r>
      <w:r w:rsidR="000859B9">
        <w:t xml:space="preserve"> Incorpora</w:t>
      </w:r>
      <w:r w:rsidR="0004703C">
        <w:t xml:space="preserve">ting information on </w:t>
      </w:r>
      <w:r w:rsidR="0000521A">
        <w:t>health outcomes, health behaviors, access to and quality of outpatient care</w:t>
      </w:r>
      <w:r w:rsidR="00C5168C">
        <w:t>, the</w:t>
      </w:r>
      <w:r w:rsidR="0000521A">
        <w:t xml:space="preserve"> physical environment, </w:t>
      </w:r>
      <w:r w:rsidR="00C5168C">
        <w:t xml:space="preserve">and socioeconomic factors, </w:t>
      </w:r>
      <w:r w:rsidR="00C430D1">
        <w:t xml:space="preserve">researchers Park et al. </w:t>
      </w:r>
      <w:r w:rsidR="0047360D">
        <w:t xml:space="preserve">found that only the percent of children in poverty, and the percentage of the population that is uninsured had statistically significant effects on </w:t>
      </w:r>
      <w:r w:rsidR="00777580">
        <w:t>hospital charges</w:t>
      </w:r>
      <w:r w:rsidR="00CA6B6C">
        <w:t>. They</w:t>
      </w:r>
      <w:r w:rsidR="00844561">
        <w:t xml:space="preserve"> concluded that “hospital charges lacked a relationship with population health indicators”</w:t>
      </w:r>
      <w:r w:rsidR="00777580">
        <w:t xml:space="preserve">. </w:t>
      </w:r>
      <w:r w:rsidR="00060C2C">
        <w:rPr>
          <w:rStyle w:val="EndnoteReference"/>
        </w:rPr>
        <w:endnoteReference w:id="9"/>
      </w:r>
      <w:r w:rsidR="004C6F2D">
        <w:t xml:space="preserve"> </w:t>
      </w:r>
      <w:r w:rsidR="00AA4092">
        <w:t>This research examined hospital charges</w:t>
      </w:r>
      <w:r w:rsidR="0057414C">
        <w:t xml:space="preserve"> at the facility level</w:t>
      </w:r>
      <w:r w:rsidR="00AA4092">
        <w:t xml:space="preserve"> as the outcome</w:t>
      </w:r>
      <w:r w:rsidR="00F100F2">
        <w:t xml:space="preserve"> variable</w:t>
      </w:r>
      <w:r w:rsidR="00AA4092">
        <w:t xml:space="preserve">, requiring </w:t>
      </w:r>
      <w:r w:rsidR="0029127A">
        <w:t xml:space="preserve">the authors to </w:t>
      </w:r>
      <w:r w:rsidR="0093405A">
        <w:t>generate a standardize</w:t>
      </w:r>
      <w:r w:rsidR="00551593">
        <w:t>d me</w:t>
      </w:r>
      <w:r w:rsidR="007978F4">
        <w:t xml:space="preserve">tric for each facility that was not dependent on the types of patients seen at each facility. </w:t>
      </w:r>
      <w:r w:rsidR="00535F7E">
        <w:t xml:space="preserve">To achieve this, the authors generated “condition-aggregated” charges for each facility, calculating average charges across six conditions. </w:t>
      </w:r>
    </w:p>
    <w:p w:rsidR="005A3EC3" w:rsidRPr="00CA4BD4" w:rsidRDefault="00BB1385" w:rsidP="00BB1385">
      <w:r>
        <w:t xml:space="preserve">Using a “markup measure” such that hospital prices are measured in units of Medicare payments or allowable costs has been used to investigate </w:t>
      </w:r>
      <w:r w:rsidR="00795321">
        <w:t>hospital pricing structures in past research.</w:t>
      </w:r>
      <w:r w:rsidR="00231553">
        <w:t xml:space="preserve"> </w:t>
      </w:r>
      <w:r w:rsidR="00420FE4">
        <w:rPr>
          <w:rStyle w:val="EndnoteReference"/>
        </w:rPr>
        <w:endnoteReference w:id="10"/>
      </w:r>
      <w:r w:rsidR="00C55369">
        <w:rPr>
          <w:vertAlign w:val="superscript"/>
        </w:rPr>
        <w:t>,</w:t>
      </w:r>
      <w:r w:rsidR="00C55369">
        <w:rPr>
          <w:rStyle w:val="EndnoteReference"/>
        </w:rPr>
        <w:endnoteReference w:id="11"/>
      </w:r>
      <w:r w:rsidR="00CA4BD4">
        <w:t xml:space="preserve"> </w:t>
      </w:r>
      <w:r w:rsidR="00043FE3">
        <w:t>Unlike examining charges directly,</w:t>
      </w:r>
      <w:r w:rsidR="00A972EB">
        <w:t xml:space="preserve"> or generating condition-aggregated charges,</w:t>
      </w:r>
      <w:r w:rsidR="00043FE3">
        <w:t xml:space="preserve"> using a</w:t>
      </w:r>
      <w:r w:rsidR="00AF0AC0">
        <w:t xml:space="preserve"> markup measure allows the relative cost </w:t>
      </w:r>
      <w:r w:rsidR="00D8159D">
        <w:t xml:space="preserve">of each facility </w:t>
      </w:r>
      <w:r w:rsidR="00AF0AC0">
        <w:t>to be compared across disease reporting groups, since both the charges and payment</w:t>
      </w:r>
      <w:r w:rsidR="00BA76D0">
        <w:t xml:space="preserve"> measurements are derived from t</w:t>
      </w:r>
      <w:r w:rsidR="00AF0AC0">
        <w:t>he same patients</w:t>
      </w:r>
      <w:r w:rsidR="00515B3C">
        <w:t xml:space="preserve">. </w:t>
      </w:r>
    </w:p>
    <w:p w:rsidR="009F4D69" w:rsidRDefault="00E016C3" w:rsidP="00C60DAC">
      <w:r>
        <w:t xml:space="preserve">This opens up new questions </w:t>
      </w:r>
      <w:proofErr w:type="gramStart"/>
      <w:r w:rsidR="00F6777C">
        <w:t>How</w:t>
      </w:r>
      <w:proofErr w:type="gramEnd"/>
      <w:r w:rsidR="00F6777C">
        <w:t xml:space="preserve"> much does price markup vary by medical condition? </w:t>
      </w:r>
      <w:r w:rsidR="00834085">
        <w:t>Is</w:t>
      </w:r>
      <w:r w:rsidR="001D1212">
        <w:t xml:space="preserve"> the amounts that hospitals char</w:t>
      </w:r>
      <w:r w:rsidR="00D3198F">
        <w:t xml:space="preserve">ge </w:t>
      </w:r>
      <w:r w:rsidR="00B60575">
        <w:t xml:space="preserve">related to the </w:t>
      </w:r>
      <w:r w:rsidR="00032647">
        <w:t>ability of the communities served by each facility to pay</w:t>
      </w:r>
      <w:r w:rsidR="00EF28A3">
        <w:t xml:space="preserve"> for the services rendered</w:t>
      </w:r>
      <w:r w:rsidR="005B4536">
        <w:t xml:space="preserve">? </w:t>
      </w:r>
      <w:r w:rsidR="00CB2709">
        <w:t>To what extent does</w:t>
      </w:r>
      <w:r w:rsidR="009F4D69">
        <w:t xml:space="preserve"> spatial variation in </w:t>
      </w:r>
      <w:r w:rsidR="002217CB">
        <w:t xml:space="preserve">hospital </w:t>
      </w:r>
      <w:r w:rsidR="009F4D69">
        <w:t>charges still persist, even after controlling for socioeconomic factors</w:t>
      </w:r>
      <w:r w:rsidR="00A57011">
        <w:t xml:space="preserve"> that may drive market prices</w:t>
      </w:r>
      <w:r w:rsidR="009F4D69">
        <w:t xml:space="preserve"> such as income, poverty, and </w:t>
      </w:r>
      <w:r w:rsidR="00D7789F">
        <w:t>underinsurance</w:t>
      </w:r>
      <w:r w:rsidR="009F4D69">
        <w:t xml:space="preserve">? </w:t>
      </w:r>
    </w:p>
    <w:p w:rsidR="00032647" w:rsidRDefault="0000657B" w:rsidP="00C60DAC">
      <w:r>
        <w:t xml:space="preserve">Variation in </w:t>
      </w:r>
      <w:proofErr w:type="spellStart"/>
      <w:r>
        <w:t>medicare</w:t>
      </w:r>
      <w:proofErr w:type="spellEnd"/>
      <w:r>
        <w:t xml:space="preserve"> payments</w:t>
      </w:r>
      <w:r>
        <w:rPr>
          <w:rStyle w:val="EndnoteReference"/>
        </w:rPr>
        <w:endnoteReference w:id="12"/>
      </w:r>
      <w:r w:rsidR="00444297">
        <w:t xml:space="preserve"> </w:t>
      </w:r>
      <w:r>
        <w:t xml:space="preserve">Not the right citation here, this is </w:t>
      </w:r>
      <w:proofErr w:type="gramStart"/>
      <w:r>
        <w:t xml:space="preserve">about </w:t>
      </w:r>
      <w:r>
        <w:t>.</w:t>
      </w:r>
      <w:proofErr w:type="gramEnd"/>
      <w:r>
        <w:rPr>
          <w:rStyle w:val="EndnoteReference"/>
        </w:rPr>
        <w:endnoteReference w:id="13"/>
      </w:r>
      <w:r w:rsidR="0025204C">
        <w:t xml:space="preserve"> </w:t>
      </w:r>
      <w:r w:rsidR="0025204C">
        <w:t>Past work has found that Medicare Payments, the charge-to-cost ratio, and</w:t>
      </w:r>
      <w:r w:rsidR="0025204C">
        <w:t xml:space="preserve">… varies spatially. </w:t>
      </w:r>
    </w:p>
    <w:p w:rsidR="00924E81" w:rsidRDefault="00924083" w:rsidP="00FA37D5">
      <w:proofErr w:type="gramStart"/>
      <w:r>
        <w:t>why</w:t>
      </w:r>
      <w:proofErr w:type="gramEnd"/>
      <w:r>
        <w:t xml:space="preserve">, then, do chargemaster prices associated with medical treatment, and vary widely based on geographic location? </w:t>
      </w:r>
    </w:p>
    <w:p w:rsidR="00924E81" w:rsidRDefault="00924E81" w:rsidP="00FA37D5">
      <w:r>
        <w:t xml:space="preserve">What spatial patterns are associated with hospital markups?  </w:t>
      </w:r>
    </w:p>
    <w:p w:rsidR="00B73BBC" w:rsidRDefault="00B73BBC" w:rsidP="00FA37D5">
      <w:r>
        <w:t xml:space="preserve">To what extent are hospitals near one another </w:t>
      </w:r>
      <w:r w:rsidR="00B039C7">
        <w:t>similar in pricing?</w:t>
      </w:r>
    </w:p>
    <w:p w:rsidR="002D53AC" w:rsidRDefault="002D53AC" w:rsidP="00FA37D5">
      <w:r>
        <w:lastRenderedPageBreak/>
        <w:t>Are hospital markups associated with</w:t>
      </w:r>
      <w:r w:rsidR="009473D9">
        <w:t xml:space="preserve"> socioeconomic and </w:t>
      </w:r>
      <w:r w:rsidR="00A443EE">
        <w:t>demographic</w:t>
      </w:r>
      <w:r>
        <w:t xml:space="preserve"> properti</w:t>
      </w:r>
      <w:r w:rsidR="00B27377">
        <w:t xml:space="preserve">es of the community they serve? If so, what factors in a community are associated with higher or lower markup, and </w:t>
      </w:r>
    </w:p>
    <w:p w:rsidR="00484726" w:rsidRDefault="00484726" w:rsidP="00FA37D5">
      <w:r>
        <w:t xml:space="preserve">Previous work has shown that charges for the same procedures are highly inequitable </w:t>
      </w:r>
      <w:proofErr w:type="spellStart"/>
      <w:r>
        <w:t>Inequitable</w:t>
      </w:r>
      <w:proofErr w:type="spellEnd"/>
    </w:p>
    <w:p w:rsidR="00836C6C" w:rsidRDefault="00836C6C" w:rsidP="00FA37D5"/>
    <w:p w:rsidR="00836C6C" w:rsidRDefault="00836C6C" w:rsidP="00FA37D5">
      <w:r>
        <w:t>Regional variation in hospital pricing structures</w:t>
      </w:r>
    </w:p>
    <w:p w:rsidR="00546B5D" w:rsidRDefault="00D22581" w:rsidP="00FA37D5">
      <w:r>
        <w:t>Inpatient hospital stays are rarely of the patients choosing,</w:t>
      </w:r>
      <w:r w:rsidRPr="00067897">
        <w:t xml:space="preserve"> and may involve ambulance transport to a facility</w:t>
      </w:r>
      <w:r>
        <w:t xml:space="preserve"> not specified by the patient.</w:t>
      </w:r>
    </w:p>
    <w:p w:rsidR="009121F3" w:rsidRDefault="0041146E" w:rsidP="00FA37D5">
      <w:r>
        <w:t>Previous investigations into hospital pricing structure sand markups have resulted in …..</w:t>
      </w:r>
    </w:p>
    <w:p w:rsidR="00613A16" w:rsidRDefault="00613A16" w:rsidP="00FA37D5">
      <w:r>
        <w:t xml:space="preserve">For any disease reporting group in 2014,  </w:t>
      </w:r>
    </w:p>
    <w:p w:rsidR="00D61ADC" w:rsidRDefault="001232BB" w:rsidP="00FA37D5">
      <w:r>
        <w:t>In an unprecedented data release</w:t>
      </w:r>
      <w:r w:rsidR="00613A16">
        <w:t xml:space="preserve"> in </w:t>
      </w:r>
      <w:r>
        <w:t xml:space="preserve">, the Centers for Medicare and Medicaid Services published the average total payment (Medicare’s payment to the hospital, as well as any co-pay or deductibles, or third-party insurance contributions), and the average total charges (the sum of the chargemaster items for that hospital stay) </w:t>
      </w:r>
      <w:r w:rsidR="007E4548">
        <w:t>by disease reporting group (DRG) for all</w:t>
      </w:r>
      <w:r>
        <w:t xml:space="preserve">  </w:t>
      </w:r>
    </w:p>
    <w:p w:rsidR="0080262D" w:rsidRDefault="008A3643" w:rsidP="0080262D">
      <w:r>
        <w:t xml:space="preserve">The literal cost of being uninsured is widely varying across the United States. </w:t>
      </w:r>
    </w:p>
    <w:p w:rsidR="0080262D" w:rsidRDefault="0080262D" w:rsidP="0080262D">
      <w:r>
        <w:t xml:space="preserve">Treating and diagnosing a human body is remarkably </w:t>
      </w:r>
      <w:proofErr w:type="gramStart"/>
      <w:r>
        <w:t>dissimilar  from</w:t>
      </w:r>
      <w:proofErr w:type="gramEnd"/>
      <w:r>
        <w:t xml:space="preserve"> other transactions. Unlike taking a car in for a repair, calling different facilities for a quote for diagnosis and treatment is unheard of. </w:t>
      </w:r>
    </w:p>
    <w:p w:rsidR="0080262D" w:rsidRDefault="0080262D" w:rsidP="0080262D"/>
    <w:p w:rsidR="0080262D" w:rsidRDefault="00694B52" w:rsidP="0080262D">
      <w:r>
        <w:t xml:space="preserve">Prior research on hospital charge variability </w:t>
      </w:r>
      <w:r w:rsidR="00A00280">
        <w:t>using this data set is sparse. One analysis, by Park, Kim</w:t>
      </w:r>
      <w:proofErr w:type="gramStart"/>
      <w:r w:rsidR="00A00280">
        <w:t>,  and</w:t>
      </w:r>
      <w:proofErr w:type="gramEnd"/>
      <w:r w:rsidR="00A00280">
        <w:t xml:space="preserve"> Werner, </w:t>
      </w:r>
    </w:p>
    <w:p w:rsidR="004A7FE3" w:rsidRDefault="004A7FE3" w:rsidP="00BF7F55"/>
    <w:p w:rsidR="00201C19" w:rsidRPr="008B1336" w:rsidRDefault="008B1336" w:rsidP="00BF7F55">
      <w:pPr>
        <w:rPr>
          <w:b/>
        </w:rPr>
      </w:pPr>
      <w:r>
        <w:rPr>
          <w:b/>
        </w:rPr>
        <w:t>Study Methods</w:t>
      </w:r>
    </w:p>
    <w:p w:rsidR="00975CBB" w:rsidRDefault="00975CBB" w:rsidP="00BF7F55">
      <w:pPr>
        <w:rPr>
          <w:b/>
        </w:rPr>
      </w:pPr>
    </w:p>
    <w:p w:rsidR="008B1336" w:rsidRPr="008B1336" w:rsidRDefault="008B1336" w:rsidP="00BF7F55">
      <w:pPr>
        <w:rPr>
          <w:b/>
        </w:rPr>
      </w:pPr>
      <w:r w:rsidRPr="008B1336">
        <w:rPr>
          <w:b/>
        </w:rPr>
        <w:t>Data</w:t>
      </w:r>
    </w:p>
    <w:p w:rsidR="00370F35" w:rsidRDefault="00130D64" w:rsidP="00BF7F55">
      <w:r>
        <w:t xml:space="preserve">Records of the </w:t>
      </w:r>
      <w:r w:rsidR="004B0AD8">
        <w:t>average total Medicare payments</w:t>
      </w:r>
      <w:r>
        <w:t xml:space="preserve">, </w:t>
      </w:r>
      <w:r w:rsidR="004B0AD8">
        <w:t xml:space="preserve">and the total </w:t>
      </w:r>
      <w:r w:rsidR="00C0155B">
        <w:t>charges</w:t>
      </w:r>
      <w:r w:rsidR="004B0AD8">
        <w:t xml:space="preserve"> (chargemaster list price) for each disease reporting group (DRG)</w:t>
      </w:r>
      <w:r w:rsidR="00787E38">
        <w:t xml:space="preserve"> with over 10</w:t>
      </w:r>
      <w:r w:rsidR="00370F35">
        <w:t xml:space="preserve"> discharges</w:t>
      </w:r>
      <w:r>
        <w:t xml:space="preserve"> </w:t>
      </w:r>
      <w:r w:rsidR="004B0AD8">
        <w:t xml:space="preserve">at each hospital registered with Medicare </w:t>
      </w:r>
      <w:r>
        <w:t>were obtained from the Centers for Medicare and Medicaid Services.</w:t>
      </w:r>
      <w:r>
        <w:rPr>
          <w:rStyle w:val="EndnoteReference"/>
        </w:rPr>
        <w:endnoteReference w:id="14"/>
      </w:r>
      <w:r w:rsidR="004B0AD8">
        <w:t xml:space="preserve"> </w:t>
      </w:r>
      <w:r w:rsidR="0042195C">
        <w:t xml:space="preserve">The data set is based on information from the Medicare Provider Analysis and Review (MEDPAR) data. </w:t>
      </w:r>
      <w:r w:rsidR="00370F35">
        <w:t xml:space="preserve">Only the top 100 DRGs </w:t>
      </w:r>
      <w:r w:rsidR="00CF0296">
        <w:t xml:space="preserve">by number of discharges </w:t>
      </w:r>
      <w:r w:rsidR="00370F35">
        <w:t xml:space="preserve">were </w:t>
      </w:r>
      <w:r w:rsidR="00CE3AA9">
        <w:t>included in the data set</w:t>
      </w:r>
      <w:r w:rsidR="00370F35">
        <w:t xml:space="preserve"> </w:t>
      </w:r>
      <w:r w:rsidR="0061323A">
        <w:t xml:space="preserve">in </w:t>
      </w:r>
      <w:r w:rsidR="002E613B">
        <w:t>2</w:t>
      </w:r>
      <w:r w:rsidR="00370F35">
        <w:t xml:space="preserve">011-2013, while </w:t>
      </w:r>
      <w:r w:rsidR="00681EAC">
        <w:t>all DRGs</w:t>
      </w:r>
      <w:r w:rsidR="00320F36">
        <w:t xml:space="preserve"> with adequate discharges</w:t>
      </w:r>
      <w:r w:rsidR="00681EAC">
        <w:t xml:space="preserve"> were </w:t>
      </w:r>
      <w:r w:rsidR="002609F5">
        <w:t>included</w:t>
      </w:r>
      <w:r w:rsidR="00681EAC">
        <w:t xml:space="preserve"> in 2014. </w:t>
      </w:r>
      <w:r w:rsidR="00DD2A0F">
        <w:t>The</w:t>
      </w:r>
      <w:r w:rsidR="00447816">
        <w:t xml:space="preserve"> latitude and longitude, c</w:t>
      </w:r>
      <w:r w:rsidR="007C5B80">
        <w:t>ounty and ce</w:t>
      </w:r>
      <w:r w:rsidR="001E51D5">
        <w:t>nsus tract associated with each</w:t>
      </w:r>
      <w:r w:rsidR="00DD2A0F">
        <w:t xml:space="preserve"> facility was determined </w:t>
      </w:r>
      <w:r w:rsidR="00693054">
        <w:t xml:space="preserve">by </w:t>
      </w:r>
      <w:proofErr w:type="spellStart"/>
      <w:r w:rsidR="00693054">
        <w:t>geolocating</w:t>
      </w:r>
      <w:proofErr w:type="spellEnd"/>
      <w:r w:rsidR="00693054">
        <w:t xml:space="preserve"> each hospital</w:t>
      </w:r>
      <w:r w:rsidR="004D4FD7">
        <w:t xml:space="preserve"> using the Google Maps API</w:t>
      </w:r>
      <w:r w:rsidR="00F23468">
        <w:t xml:space="preserve"> to generate coordinate positions based on the facility address</w:t>
      </w:r>
      <w:r w:rsidR="004D4FD7">
        <w:rPr>
          <w:rStyle w:val="EndnoteReference"/>
        </w:rPr>
        <w:endnoteReference w:id="15"/>
      </w:r>
      <w:r w:rsidR="00CD4CF7">
        <w:t>.</w:t>
      </w:r>
      <w:r w:rsidR="00DD2A0F">
        <w:t xml:space="preserve"> </w:t>
      </w:r>
      <w:r w:rsidR="00D447A4">
        <w:t xml:space="preserve">29 </w:t>
      </w:r>
      <w:r w:rsidR="00E7394D">
        <w:t>facilities</w:t>
      </w:r>
      <w:r w:rsidR="00FA5582">
        <w:t xml:space="preserve"> that did not contain adequate location information to generate coordinates were excluded from the study, resulting in a total of </w:t>
      </w:r>
      <w:r w:rsidR="00691270">
        <w:t>3416</w:t>
      </w:r>
      <w:r w:rsidR="00FA5582">
        <w:t xml:space="preserve"> fa</w:t>
      </w:r>
      <w:r w:rsidR="00862747">
        <w:t xml:space="preserve">cilities in the final data set, and </w:t>
      </w:r>
      <w:r w:rsidR="00177807">
        <w:t>670,707</w:t>
      </w:r>
      <w:r w:rsidR="00761863">
        <w:t xml:space="preserve"> observations</w:t>
      </w:r>
      <w:r w:rsidR="00691270">
        <w:t xml:space="preserve">. </w:t>
      </w:r>
      <w:r w:rsidR="00163FBE">
        <w:t>The</w:t>
      </w:r>
      <w:r w:rsidR="00101AD2">
        <w:t>re were facilities</w:t>
      </w:r>
      <w:r w:rsidR="006A418C">
        <w:t xml:space="preserve"> located</w:t>
      </w:r>
      <w:r w:rsidR="00101AD2">
        <w:t xml:space="preserve"> in </w:t>
      </w:r>
      <w:r w:rsidR="00552A9E">
        <w:t xml:space="preserve">1527 </w:t>
      </w:r>
      <w:r w:rsidR="00A6622D">
        <w:t>out of 3,141 counties or county equivalents within the United States.</w:t>
      </w:r>
      <w:r w:rsidR="00552A9E">
        <w:t xml:space="preserve"> </w:t>
      </w:r>
      <w:r w:rsidR="00A05667">
        <w:t>The data set represents charges and payments for 27,185,017</w:t>
      </w:r>
      <w:r w:rsidR="0042195C">
        <w:t xml:space="preserve"> inpatient discharges from</w:t>
      </w:r>
      <w:r w:rsidR="00A05667">
        <w:t xml:space="preserve"> </w:t>
      </w:r>
      <w:r w:rsidR="0042195C">
        <w:t>October 1</w:t>
      </w:r>
      <w:r w:rsidR="0042195C" w:rsidRPr="0042195C">
        <w:rPr>
          <w:vertAlign w:val="superscript"/>
        </w:rPr>
        <w:t>st</w:t>
      </w:r>
      <w:r w:rsidR="0042195C">
        <w:t>, 2011 through September 30</w:t>
      </w:r>
      <w:r w:rsidR="0042195C" w:rsidRPr="0042195C">
        <w:rPr>
          <w:vertAlign w:val="superscript"/>
        </w:rPr>
        <w:t>th</w:t>
      </w:r>
      <w:r w:rsidR="0042195C">
        <w:t xml:space="preserve">, </w:t>
      </w:r>
      <w:r w:rsidR="00A05667">
        <w:t xml:space="preserve">2014. </w:t>
      </w:r>
    </w:p>
    <w:p w:rsidR="000E4883" w:rsidRDefault="000E4883" w:rsidP="00BF7F55">
      <w:r>
        <w:lastRenderedPageBreak/>
        <w:t xml:space="preserve">&lt;&lt; Section here on </w:t>
      </w:r>
      <w:r w:rsidR="00F4729A">
        <w:t>census data/</w:t>
      </w:r>
      <w:proofErr w:type="spellStart"/>
      <w:r w:rsidR="00F4729A">
        <w:t>etc</w:t>
      </w:r>
      <w:proofErr w:type="spellEnd"/>
      <w:r w:rsidR="00F4729A">
        <w:t>&gt;&gt;&gt;</w:t>
      </w:r>
    </w:p>
    <w:p w:rsidR="00A604EA" w:rsidRDefault="00F14BEF" w:rsidP="00BF7F55">
      <w:r>
        <w:t xml:space="preserve">Markup for each DRG in each facility-year were calculated </w:t>
      </w:r>
      <w:r w:rsidR="006F1E7A">
        <w:t>by dividing the average total charge</w:t>
      </w:r>
      <w:r w:rsidR="008E4099">
        <w:t xml:space="preserve">s by the average total payments. </w:t>
      </w:r>
      <w:r w:rsidR="0042195C">
        <w:t xml:space="preserve"> </w:t>
      </w:r>
    </w:p>
    <w:p w:rsidR="00C0155B" w:rsidRDefault="00C0155B" w:rsidP="00BF7F55"/>
    <w:p w:rsidR="00F40163" w:rsidRDefault="008D2954" w:rsidP="00BF7F55">
      <w:r>
        <w:t>A variety of different socioecono</w:t>
      </w:r>
      <w:r w:rsidR="001239CE">
        <w:t>mi</w:t>
      </w:r>
      <w:r w:rsidR="00032657">
        <w:t xml:space="preserve">c variables were extracted at the county level </w:t>
      </w:r>
    </w:p>
    <w:p w:rsidR="008E4C20" w:rsidRDefault="008E4C20" w:rsidP="00BF7F55">
      <w:r>
        <w:t xml:space="preserve">Markup was calculated by dividing the </w:t>
      </w:r>
      <w:r w:rsidR="003E2531">
        <w:t>tota</w:t>
      </w:r>
      <w:r w:rsidR="008149C3">
        <w:t>l average charges</w:t>
      </w:r>
      <w:r w:rsidR="001266E7">
        <w:t xml:space="preserve"> by the total M</w:t>
      </w:r>
      <w:r w:rsidR="004F57D8">
        <w:t xml:space="preserve">edicare payments </w:t>
      </w:r>
      <w:r w:rsidR="008149C3">
        <w:t xml:space="preserve">for each disease reporting group in each facility-year. </w:t>
      </w:r>
    </w:p>
    <w:p w:rsidR="004C3E7F" w:rsidRDefault="003623F8" w:rsidP="00BF7F55">
      <w:r>
        <w:t>Covariate data</w:t>
      </w:r>
      <w:r w:rsidR="004C3E7F">
        <w:t xml:space="preserve"> at the county level</w:t>
      </w:r>
      <w:r>
        <w:t xml:space="preserve"> on population density, </w:t>
      </w:r>
      <w:proofErr w:type="gramStart"/>
      <w:r>
        <w:t xml:space="preserve">education, </w:t>
      </w:r>
      <w:r w:rsidR="004C3E7F">
        <w:t>…..</w:t>
      </w:r>
      <w:proofErr w:type="gramEnd"/>
      <w:r w:rsidR="004C3E7F">
        <w:t xml:space="preserve"> </w:t>
      </w:r>
      <w:proofErr w:type="gramStart"/>
      <w:r w:rsidR="004C3E7F">
        <w:t>for</w:t>
      </w:r>
      <w:proofErr w:type="gramEnd"/>
      <w:r w:rsidR="004C3E7F">
        <w:t xml:space="preserve"> each</w:t>
      </w:r>
      <w:r w:rsidR="000A3053">
        <w:t xml:space="preserve"> county were </w:t>
      </w:r>
      <w:r w:rsidR="000A5ABE">
        <w:t>derived</w:t>
      </w:r>
      <w:r w:rsidR="000A3053">
        <w:t xml:space="preserve"> from the American Community Survey. </w:t>
      </w:r>
      <w:r w:rsidR="000A3053">
        <w:rPr>
          <w:rStyle w:val="EndnoteReference"/>
        </w:rPr>
        <w:endnoteReference w:id="16"/>
      </w:r>
      <w:r w:rsidR="000A5ABE">
        <w:t xml:space="preserve"> Info</w:t>
      </w:r>
      <w:r w:rsidR="00C71E1E">
        <w:t>rmation on mortality rates were</w:t>
      </w:r>
    </w:p>
    <w:p w:rsidR="00823DCD" w:rsidRPr="006A53DE" w:rsidRDefault="006A53DE" w:rsidP="00BF7F55">
      <w:pPr>
        <w:rPr>
          <w:b/>
        </w:rPr>
      </w:pPr>
      <w:r w:rsidRPr="006A53DE">
        <w:rPr>
          <w:b/>
        </w:rPr>
        <w:t>Methods</w:t>
      </w:r>
    </w:p>
    <w:p w:rsidR="00E250F2" w:rsidRDefault="00C85E28" w:rsidP="00BF7F55">
      <w:r>
        <w:t xml:space="preserve">Summary </w:t>
      </w:r>
      <w:proofErr w:type="gramStart"/>
      <w:r>
        <w:t>statistics .</w:t>
      </w:r>
      <w:proofErr w:type="gramEnd"/>
      <w:r>
        <w:t xml:space="preserve"> Analysis wa</w:t>
      </w:r>
      <w:r w:rsidR="0025134D">
        <w:t>s conducted in R version 3.3.2</w:t>
      </w:r>
      <w:r>
        <w:rPr>
          <w:rStyle w:val="EndnoteReference"/>
        </w:rPr>
        <w:endnoteReference w:id="17"/>
      </w:r>
      <w:r w:rsidR="00E250F2">
        <w:t xml:space="preserve">, using the </w:t>
      </w:r>
    </w:p>
    <w:p w:rsidR="00E250F2" w:rsidRDefault="00E250F2" w:rsidP="00BF7F55">
      <w:r>
        <w:t xml:space="preserve">Regressions were </w:t>
      </w:r>
    </w:p>
    <w:p w:rsidR="00E250F2" w:rsidRDefault="00E250F2" w:rsidP="00BF7F55">
      <w:r>
        <w:t>A regression analysis with</w:t>
      </w:r>
    </w:p>
    <w:p w:rsidR="006A53DE" w:rsidRDefault="00333EED" w:rsidP="00BF7F55">
      <w:proofErr w:type="spellStart"/>
      <w:proofErr w:type="gramStart"/>
      <w:r>
        <w:t>ssss</w:t>
      </w:r>
      <w:proofErr w:type="spellEnd"/>
      <w:proofErr w:type="gramEnd"/>
      <w:r w:rsidR="00E250F2">
        <w:t xml:space="preserve"> </w:t>
      </w:r>
    </w:p>
    <w:p w:rsidR="00823DCD" w:rsidRDefault="00823DCD" w:rsidP="00BF7F55">
      <w:r>
        <w:t xml:space="preserve">Can these pricing discrepancies be explained by </w:t>
      </w:r>
      <w:r w:rsidR="002E51B8">
        <w:t xml:space="preserve">the socioeconomic characteristics of the communities in which hospitals operate? </w:t>
      </w:r>
    </w:p>
    <w:p w:rsidR="00CB6CAF" w:rsidRDefault="00CB6CAF" w:rsidP="00BF7F55">
      <w:r>
        <w:t>Were obtained</w:t>
      </w:r>
    </w:p>
    <w:p w:rsidR="00CB6CAF" w:rsidRDefault="00CB6CAF" w:rsidP="00BF7F55">
      <w:r>
        <w:t xml:space="preserve">Information on wealth of surrounding community </w:t>
      </w:r>
    </w:p>
    <w:p w:rsidR="005F0C38" w:rsidRDefault="005F0C38" w:rsidP="00BF7F55">
      <w:r>
        <w:t>Mortality rate data per 100,000 population…</w:t>
      </w:r>
    </w:p>
    <w:p w:rsidR="00A16975" w:rsidRDefault="00A16975" w:rsidP="00BF7F55"/>
    <w:p w:rsidR="002D6A98" w:rsidRPr="00D70B65" w:rsidRDefault="00390242" w:rsidP="00BF7F55">
      <w:r w:rsidRPr="00D70B65">
        <w:t>Census-tract level stuff</w:t>
      </w:r>
      <w:r w:rsidR="004E3E6D">
        <w:t xml:space="preserve"> to look at local neighborhood</w:t>
      </w:r>
    </w:p>
    <w:p w:rsidR="00390242" w:rsidRPr="00D70B65" w:rsidRDefault="00D70B65" w:rsidP="00BF7F55">
      <w:r w:rsidRPr="00D70B65">
        <w:t>County-level stuff</w:t>
      </w:r>
      <w:r w:rsidR="004E3E6D">
        <w:t xml:space="preserve"> </w:t>
      </w:r>
    </w:p>
    <w:p w:rsidR="00D70B65" w:rsidRPr="004E3E6D" w:rsidRDefault="004E3E6D" w:rsidP="00BF7F55">
      <w:r w:rsidRPr="004E3E6D">
        <w:t>Ratio of local and county (rich for the surrounding area?)</w:t>
      </w:r>
    </w:p>
    <w:p w:rsidR="00FB4AE5" w:rsidRDefault="00FB4AE5" w:rsidP="00BF7F55">
      <w:r>
        <w:rPr>
          <w:b/>
        </w:rPr>
        <w:t>Results</w:t>
      </w:r>
    </w:p>
    <w:p w:rsidR="002B2B5C" w:rsidRDefault="00FB4AE5" w:rsidP="00BF7F55">
      <w:r>
        <w:t xml:space="preserve">Chargemaster markup </w:t>
      </w:r>
      <w:r w:rsidR="001E0E9F">
        <w:t>in relation to Medicare payment</w:t>
      </w:r>
      <w:r>
        <w:t xml:space="preserve"> ranged from XX to XX, and was XX on average</w:t>
      </w:r>
      <w:r w:rsidR="001E0E9F">
        <w:t xml:space="preserve"> within the United States as a whole</w:t>
      </w:r>
      <w:r>
        <w:t>.</w:t>
      </w:r>
      <w:r w:rsidR="001E0E9F">
        <w:t xml:space="preserve"> </w:t>
      </w:r>
    </w:p>
    <w:p w:rsidR="002B2B5C" w:rsidRDefault="002B2B5C" w:rsidP="00BF7F55">
      <w:r>
        <w:t xml:space="preserve">According to a recent poll in 2015, close to half (46%) of the uninsured in the United States were uninsured due to the high costs of health insurance. </w:t>
      </w:r>
    </w:p>
    <w:p w:rsidR="00FB4AE5" w:rsidRDefault="00DF7271" w:rsidP="00BF7F55">
      <w:r>
        <w:t xml:space="preserve">Over </w:t>
      </w:r>
      <w:proofErr w:type="gramStart"/>
      <w:r>
        <w:t>half(</w:t>
      </w:r>
      <w:proofErr w:type="gramEnd"/>
      <w:r>
        <w:t>XX%?) of the facilities in the upper quartile were wit</w:t>
      </w:r>
      <w:r w:rsidR="00BB375F">
        <w:t>hin states X, Y, a</w:t>
      </w:r>
      <w:r>
        <w:t xml:space="preserve">nd Z. </w:t>
      </w:r>
    </w:p>
    <w:p w:rsidR="00FB4AE5" w:rsidRPr="005F2FEA" w:rsidRDefault="00FB4AE5" w:rsidP="00BF7F55">
      <w:r>
        <w:t xml:space="preserve">On average, the markup ranged </w:t>
      </w:r>
      <w:proofErr w:type="gramStart"/>
      <w:r>
        <w:t>from  within</w:t>
      </w:r>
      <w:proofErr w:type="gramEnd"/>
      <w:r>
        <w:t xml:space="preserve"> inpatient hospital stays within the United </w:t>
      </w:r>
      <w:proofErr w:type="spellStart"/>
      <w:r>
        <w:t>Statesranged</w:t>
      </w:r>
      <w:proofErr w:type="spellEnd"/>
      <w:r>
        <w:t xml:space="preserve"> from XX to XX in the </w:t>
      </w:r>
    </w:p>
    <w:p w:rsidR="00FB4AE5" w:rsidRPr="005F2FEA" w:rsidRDefault="005F2FEA" w:rsidP="00BF7F55">
      <w:r w:rsidRPr="005F2FEA">
        <w:lastRenderedPageBreak/>
        <w:t xml:space="preserve">Rather than dealing with </w:t>
      </w:r>
      <w:r>
        <w:t xml:space="preserve">theoretical costs, this data set has the advantage of comparing at a patient/discharge aggregated level—what </w:t>
      </w:r>
      <w:proofErr w:type="spellStart"/>
      <w:r>
        <w:t>hositals</w:t>
      </w:r>
      <w:proofErr w:type="spellEnd"/>
      <w:r>
        <w:t xml:space="preserve"> ACTUALLY WANTED for those services. </w:t>
      </w:r>
    </w:p>
    <w:p w:rsidR="004A7FE3" w:rsidRPr="00325D4D" w:rsidRDefault="004A7FE3" w:rsidP="00BF7F55">
      <w:pPr>
        <w:rPr>
          <w:b/>
        </w:rPr>
      </w:pPr>
      <w:r w:rsidRPr="00325D4D">
        <w:rPr>
          <w:b/>
        </w:rPr>
        <w:t>Study limitations</w:t>
      </w:r>
    </w:p>
    <w:p w:rsidR="004A7FE3" w:rsidRDefault="00325D4D" w:rsidP="00BF7F55">
      <w:r>
        <w:t xml:space="preserve">The sample of hospitals within the study was limited to only facilities with over 11 discharges for a given disease reporting group, which may have censored the data to exclude hospitals with smaller patient populations, such as rural areas. </w:t>
      </w:r>
      <w:r w:rsidR="004A7FE3">
        <w:t xml:space="preserve">The disease reporting groups captured within the dataset may not represent the conditions and injuries faced by more youthful populations. </w:t>
      </w:r>
    </w:p>
    <w:p w:rsidR="00AA20CF" w:rsidRDefault="00AA20CF" w:rsidP="00BF7F55">
      <w:r>
        <w:t>The data used for this analysis are from a relatively short time period (2011-2014), in which many significant changes in health care policy.</w:t>
      </w:r>
    </w:p>
    <w:p w:rsidR="00AA20CF" w:rsidRDefault="00AA20CF" w:rsidP="00BF7F55">
      <w:r>
        <w:t xml:space="preserve">The release of the data in XX year may have changed the way in which hospitals price their goods. </w:t>
      </w:r>
    </w:p>
    <w:p w:rsidR="00AA20CF" w:rsidRDefault="00AA20CF" w:rsidP="00BF7F55"/>
    <w:p w:rsidR="00BF7F55" w:rsidRDefault="00A14FC5">
      <w:r>
        <w:t xml:space="preserve">X covariates were used to predict </w:t>
      </w:r>
      <w:r w:rsidR="00201C19">
        <w:t xml:space="preserve">hospital markup, </w:t>
      </w:r>
    </w:p>
    <w:p w:rsidR="00BF7F55" w:rsidRDefault="00BF7F55"/>
    <w:p w:rsidR="00E6512C" w:rsidRDefault="00316C32" w:rsidP="00762560">
      <w:r>
        <w:t xml:space="preserve">The data set provided (XXX) provides a </w:t>
      </w:r>
    </w:p>
    <w:p w:rsidR="00D97CC5" w:rsidRDefault="00D97CC5" w:rsidP="00762560">
      <w:r>
        <w:t xml:space="preserve">Chargemaster prices have been shown to drive hospital profits. </w:t>
      </w:r>
    </w:p>
    <w:p w:rsidR="00762560" w:rsidRDefault="004F68D2" w:rsidP="00762560">
      <w:r>
        <w:t xml:space="preserve"> </w:t>
      </w:r>
      <w:proofErr w:type="gramStart"/>
      <w:r>
        <w:t>by</w:t>
      </w:r>
      <w:proofErr w:type="gramEnd"/>
      <w:r>
        <w:t xml:space="preserve"> a base price </w:t>
      </w:r>
      <w:r w:rsidR="00BC5710">
        <w:t xml:space="preserve"> </w:t>
      </w:r>
    </w:p>
    <w:p w:rsidR="00762560" w:rsidRPr="000409B1" w:rsidRDefault="000409B1">
      <w:pPr>
        <w:rPr>
          <w:b/>
        </w:rPr>
      </w:pPr>
      <w:r w:rsidRPr="000409B1">
        <w:rPr>
          <w:b/>
        </w:rPr>
        <w:t>Discussion</w:t>
      </w:r>
    </w:p>
    <w:p w:rsidR="000409B1" w:rsidRDefault="000409B1" w:rsidP="000409B1">
      <w:r>
        <w:t xml:space="preserve">High chargemaster pricings may incentivize insurance companies to include hospitals within their insurance networks in order to avoid the high costs incurred by patients receiving medical care at an un-discounted facility, and add value to their insurance plan. </w:t>
      </w:r>
      <w:r>
        <w:rPr>
          <w:rStyle w:val="EndnoteReference"/>
        </w:rPr>
        <w:endnoteReference w:id="18"/>
      </w:r>
      <w:r w:rsidR="00AB26F0">
        <w:t xml:space="preserve"> </w:t>
      </w:r>
      <w:r>
        <w:t xml:space="preserve">Increases in chargemaster price have been recognized as a mechanism for increased hospital revenue. </w:t>
      </w:r>
      <w:r>
        <w:rPr>
          <w:rStyle w:val="EndnoteReference"/>
        </w:rPr>
        <w:endnoteReference w:id="19"/>
      </w:r>
      <w:r>
        <w:t xml:space="preserve"> </w:t>
      </w:r>
    </w:p>
    <w:p w:rsidR="00A26DF3" w:rsidRDefault="00A26DF3" w:rsidP="00A26DF3">
      <w:r>
        <w:t xml:space="preserve">It is fundamentally inequitable that the potential financial penalty for medical treatment while uninsured is so spatially variable within the United States. This work does not seek explain the drivers of cost, but rather suggests that ….. … </w:t>
      </w:r>
      <w:proofErr w:type="gramStart"/>
      <w:r>
        <w:t>should</w:t>
      </w:r>
      <w:proofErr w:type="gramEnd"/>
      <w:r>
        <w:t xml:space="preserve"> be investigated further. </w:t>
      </w:r>
    </w:p>
    <w:p w:rsidR="00C9358B" w:rsidRDefault="00C9358B" w:rsidP="00C9358B">
      <w:r>
        <w:t>Unlike other services governed by consumer choice and a free market, patients rarely have the ability to make informed choices about where they receive medical care—even if information on pricing structures were readily available, a life-threatening emergency is not a convenient time for price shopping.</w:t>
      </w:r>
    </w:p>
    <w:p w:rsidR="008426ED" w:rsidRDefault="008426ED" w:rsidP="008426ED"/>
    <w:p w:rsidR="008426ED" w:rsidRDefault="008426ED" w:rsidP="008426ED">
      <w:r>
        <w:t xml:space="preserve">A more parsimonious model </w:t>
      </w:r>
    </w:p>
    <w:p w:rsidR="008426ED" w:rsidRDefault="008426ED" w:rsidP="008426ED"/>
    <w:p w:rsidR="008426ED" w:rsidRDefault="008426ED" w:rsidP="008426ED"/>
    <w:p w:rsidR="008426ED" w:rsidRDefault="008426ED" w:rsidP="008426ED">
      <w:r>
        <w:t xml:space="preserve">Given that the uninsured are often without health coverage due to the financial cost of insurance itself </w:t>
      </w:r>
    </w:p>
    <w:p w:rsidR="008426ED" w:rsidRDefault="008426ED" w:rsidP="008426ED">
      <w:r>
        <w:lastRenderedPageBreak/>
        <w:t xml:space="preserve">If Medicare is paying providing reasonable amount for inpatient hospital services, it would stand to reason that prices for the uninsured, who are often financially vulnerable, potentially without would be similar to the amount paid by Medicaid. </w:t>
      </w:r>
    </w:p>
    <w:p w:rsidR="00BD6EEE" w:rsidRDefault="00BD6EEE" w:rsidP="000409B1"/>
    <w:p w:rsidR="00BD6EEE" w:rsidRDefault="00BD6EEE" w:rsidP="000409B1">
      <w:hyperlink r:id="rId7" w:history="1">
        <w:r w:rsidRPr="004F031A">
          <w:rPr>
            <w:rStyle w:val="Hyperlink"/>
          </w:rPr>
          <w:t>http://kff.org/uninsured/fact-sheet/key-facts-about-the-uninsured-population/</w:t>
        </w:r>
      </w:hyperlink>
    </w:p>
    <w:p w:rsidR="00BD6EEE" w:rsidRDefault="003C1C49" w:rsidP="000409B1">
      <w:r>
        <w:t>Evidence of market power</w:t>
      </w:r>
      <w:r>
        <w:rPr>
          <w:rStyle w:val="EndnoteReference"/>
        </w:rPr>
        <w:endnoteReference w:id="20"/>
      </w:r>
    </w:p>
    <w:p w:rsidR="00514355" w:rsidRDefault="00514355" w:rsidP="00514355">
      <w:r>
        <w:t>A complex mosaic of factors</w:t>
      </w:r>
    </w:p>
    <w:p w:rsidR="0096491B" w:rsidRDefault="00091655" w:rsidP="00514355">
      <w:r>
        <w:t>Hospitals use chargemaster markups to drive revenue.</w:t>
      </w:r>
    </w:p>
    <w:p w:rsidR="0096491B" w:rsidRDefault="0096491B" w:rsidP="00514355"/>
    <w:p w:rsidR="0087229E" w:rsidRDefault="00097EED" w:rsidP="00097EED">
      <w:r>
        <w:t xml:space="preserve">A variety of policies </w:t>
      </w:r>
      <w:r w:rsidR="00D32C43">
        <w:t xml:space="preserve">and events </w:t>
      </w:r>
      <w:r>
        <w:t xml:space="preserve">that may impact the pricing structure of hospitals (both in terms of Medicare payments and charges) occurred </w:t>
      </w:r>
      <w:r w:rsidR="00E564E7">
        <w:t xml:space="preserve">preceding and </w:t>
      </w:r>
      <w:r>
        <w:t>during the time period of this analysis</w:t>
      </w:r>
      <w:r w:rsidR="00357977">
        <w:t>, which may impact the generalizability of these results</w:t>
      </w:r>
      <w:r>
        <w:t>.</w:t>
      </w:r>
      <w:r w:rsidR="00D823C2">
        <w:t xml:space="preserve"> </w:t>
      </w:r>
      <w:r w:rsidR="00F94795">
        <w:t>The release of the Inpatient Public Use Data File by th</w:t>
      </w:r>
      <w:r w:rsidR="00724AF3">
        <w:t xml:space="preserve">e Centers for Medicare Services </w:t>
      </w:r>
      <w:r w:rsidR="00F94795">
        <w:t xml:space="preserve">could have had an impact on hospital pricing, as facilities could easily compare themselves to their peers. </w:t>
      </w:r>
      <w:r w:rsidR="00D823C2">
        <w:t>A</w:t>
      </w:r>
      <w:r w:rsidR="00FB1F24">
        <w:t xml:space="preserve"> variety of </w:t>
      </w:r>
      <w:r w:rsidR="0027375A">
        <w:t xml:space="preserve">changes to </w:t>
      </w:r>
      <w:r w:rsidR="00D823C2">
        <w:t>insurance requirements resulted from the Affordable Care Act</w:t>
      </w:r>
      <w:r w:rsidR="00433202">
        <w:t xml:space="preserve"> (ACA)</w:t>
      </w:r>
      <w:r w:rsidR="00D823C2">
        <w:t xml:space="preserve">, </w:t>
      </w:r>
      <w:r w:rsidR="00387A2E">
        <w:t xml:space="preserve">which </w:t>
      </w:r>
      <w:r w:rsidR="00D823C2">
        <w:t>passed in 2010</w:t>
      </w:r>
      <w:r w:rsidR="00460FDD">
        <w:t xml:space="preserve">. </w:t>
      </w:r>
      <w:r w:rsidR="001F40F1">
        <w:t xml:space="preserve">In addition, ACA enacted some changes in how Medicare reimbursed hospitals for care based on metrics of performance. </w:t>
      </w:r>
      <w:r>
        <w:t>Starting in fiscal year 2014, hospitals in the worst quartile in terms of hospital-acquired conditions were penalized by 1 percent as an incentive to reduce hospital-acquired cases of diseases such as MRSA, or clostridium difficile.</w:t>
      </w:r>
      <w:r>
        <w:rPr>
          <w:rStyle w:val="EndnoteReference"/>
        </w:rPr>
        <w:endnoteReference w:id="21"/>
      </w:r>
      <w:r>
        <w:t xml:space="preserve"> In addition, for discharges beginning in October of 2012, hospitals with excess readmissions also had their payments reduced up to 3 percent. </w:t>
      </w:r>
      <w:r>
        <w:rPr>
          <w:rStyle w:val="EndnoteReference"/>
        </w:rPr>
        <w:endnoteReference w:id="22"/>
      </w:r>
      <w:r w:rsidR="00636C19">
        <w:t xml:space="preserve"> </w:t>
      </w:r>
      <w:r w:rsidR="007763A5">
        <w:t xml:space="preserve">Given that hospital charges differ from Medicare payments in the order of hundreds of </w:t>
      </w:r>
      <w:proofErr w:type="spellStart"/>
      <w:r w:rsidR="007763A5">
        <w:t>percents</w:t>
      </w:r>
      <w:proofErr w:type="spellEnd"/>
      <w:r w:rsidR="007763A5">
        <w:t xml:space="preserve">, these effects are likely to be minor. </w:t>
      </w:r>
    </w:p>
    <w:p w:rsidR="000409B1" w:rsidRDefault="000409B1"/>
    <w:p w:rsidR="000409B1" w:rsidRDefault="0010712D">
      <w:r>
        <w:t>Magnified amplified expanded</w:t>
      </w:r>
    </w:p>
    <w:p w:rsidR="00067897" w:rsidRDefault="00067897">
      <w:r>
        <w:t xml:space="preserve"> Medicare is a special case of this phenomenon-- </w:t>
      </w:r>
    </w:p>
    <w:p w:rsidR="00170EC1" w:rsidRPr="00067897" w:rsidRDefault="00822C7E">
      <w:r w:rsidRPr="00067897">
        <w:t>Rising healthcare costs</w:t>
      </w:r>
      <w:r w:rsidRPr="00067897">
        <w:rPr>
          <w:rStyle w:val="EndnoteReference"/>
        </w:rPr>
        <w:endnoteReference w:id="23"/>
      </w:r>
      <w:r w:rsidR="008D2B11" w:rsidRPr="00067897">
        <w:t xml:space="preserve"> </w:t>
      </w:r>
    </w:p>
    <w:p w:rsidR="008D2B11" w:rsidRPr="00067897" w:rsidRDefault="008D2B11">
      <w:r w:rsidRPr="00067897">
        <w:t xml:space="preserve">As the </w:t>
      </w:r>
      <w:r w:rsidR="00BB6C49" w:rsidRPr="00067897">
        <w:t>largest insurance provider in the United States</w:t>
      </w:r>
      <w:r w:rsidRPr="00067897">
        <w:t xml:space="preserve">, Medicare services over </w:t>
      </w:r>
    </w:p>
    <w:p w:rsidR="008D2B11" w:rsidRPr="00067897" w:rsidRDefault="00BB6C49" w:rsidP="008D2B11">
      <w:r w:rsidRPr="00067897">
        <w:t xml:space="preserve">Not all doctors will take new </w:t>
      </w:r>
    </w:p>
    <w:p w:rsidR="008D2B11" w:rsidRPr="00067897" w:rsidRDefault="008D2B11"/>
    <w:p w:rsidR="007D0876" w:rsidRDefault="00220C9B">
      <w:r>
        <w:t xml:space="preserve">Higher costs of care would be understandable if </w:t>
      </w:r>
      <w:r w:rsidR="00F10E22">
        <w:t xml:space="preserve">paying more equated to </w:t>
      </w:r>
      <w:r w:rsidR="009933FC">
        <w:t>better treatment</w:t>
      </w:r>
      <w:r>
        <w:t xml:space="preserve">. </w:t>
      </w:r>
      <w:r w:rsidR="00F10E22">
        <w:t>However, r</w:t>
      </w:r>
      <w:r>
        <w:t xml:space="preserve">esearch linking the costs of care and patient </w:t>
      </w:r>
      <w:r w:rsidR="00F10E22">
        <w:t>success rates</w:t>
      </w:r>
      <w:r>
        <w:t xml:space="preserve"> have shown the opposite </w:t>
      </w:r>
      <w:r w:rsidR="00F10E22">
        <w:t xml:space="preserve">relationship, such that less expensive facilities often offer better outcomes. </w:t>
      </w:r>
      <w:r w:rsidR="00C915BE" w:rsidRPr="00067897">
        <w:rPr>
          <w:rStyle w:val="EndnoteReference"/>
        </w:rPr>
        <w:endnoteReference w:id="24"/>
      </w:r>
    </w:p>
    <w:p w:rsidR="00144479" w:rsidRDefault="00144479"/>
    <w:p w:rsidR="007D0876" w:rsidRPr="00067897" w:rsidRDefault="007D0876">
      <w:r>
        <w:t xml:space="preserve">The reasons behind why some hospitals charge more than others are purely academic for </w:t>
      </w:r>
      <w:r w:rsidR="00061415">
        <w:t xml:space="preserve">the millions of Americans faced with high medical bills. </w:t>
      </w:r>
    </w:p>
    <w:p w:rsidR="00AD28C8" w:rsidRDefault="00144479">
      <w:r>
        <w:lastRenderedPageBreak/>
        <w:t>Health care</w:t>
      </w:r>
      <w:r w:rsidR="00793EBE">
        <w:t xml:space="preserve"> bills and their contribution to financial</w:t>
      </w:r>
      <w:r>
        <w:t xml:space="preserve"> insolvency</w:t>
      </w:r>
    </w:p>
    <w:p w:rsidR="00144479" w:rsidRPr="00067897" w:rsidRDefault="00144479"/>
    <w:p w:rsidR="0090299E" w:rsidRPr="00067897" w:rsidRDefault="0090299E"/>
    <w:sectPr w:rsidR="0090299E" w:rsidRPr="0006789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CAA" w:rsidRDefault="00265CAA" w:rsidP="00FC2DAF">
      <w:pPr>
        <w:spacing w:after="0" w:line="240" w:lineRule="auto"/>
      </w:pPr>
      <w:r>
        <w:separator/>
      </w:r>
    </w:p>
  </w:endnote>
  <w:endnote w:type="continuationSeparator" w:id="0">
    <w:p w:rsidR="00265CAA" w:rsidRDefault="00265CAA" w:rsidP="00FC2DAF">
      <w:pPr>
        <w:spacing w:after="0" w:line="240" w:lineRule="auto"/>
      </w:pPr>
      <w:r>
        <w:continuationSeparator/>
      </w:r>
    </w:p>
  </w:endnote>
  <w:endnote w:id="1">
    <w:p w:rsidR="00AB3C8D" w:rsidRPr="00E016C3" w:rsidRDefault="00AB3C8D" w:rsidP="00EB1448">
      <w:pPr>
        <w:pStyle w:val="EndnoteText"/>
        <w:rPr>
          <w:sz w:val="22"/>
          <w:szCs w:val="22"/>
        </w:rPr>
      </w:pPr>
      <w:r w:rsidRPr="00E016C3">
        <w:rPr>
          <w:rStyle w:val="EndnoteReference"/>
          <w:sz w:val="22"/>
          <w:szCs w:val="22"/>
        </w:rPr>
        <w:endnoteRef/>
      </w:r>
      <w:r w:rsidRPr="00E016C3">
        <w:rPr>
          <w:sz w:val="22"/>
          <w:szCs w:val="22"/>
        </w:rPr>
        <w:t xml:space="preserve"> </w:t>
      </w:r>
      <w:proofErr w:type="spellStart"/>
      <w:r w:rsidRPr="00E016C3">
        <w:rPr>
          <w:sz w:val="22"/>
          <w:szCs w:val="22"/>
        </w:rPr>
        <w:t>Woolhandler</w:t>
      </w:r>
      <w:proofErr w:type="spellEnd"/>
      <w:r w:rsidRPr="00E016C3">
        <w:rPr>
          <w:sz w:val="22"/>
          <w:szCs w:val="22"/>
        </w:rPr>
        <w:t xml:space="preserve"> S, </w:t>
      </w:r>
      <w:proofErr w:type="spellStart"/>
      <w:r w:rsidRPr="00E016C3">
        <w:rPr>
          <w:sz w:val="22"/>
          <w:szCs w:val="22"/>
        </w:rPr>
        <w:t>Himmelstein</w:t>
      </w:r>
      <w:proofErr w:type="spellEnd"/>
      <w:r w:rsidRPr="00E016C3">
        <w:rPr>
          <w:sz w:val="22"/>
          <w:szCs w:val="22"/>
        </w:rPr>
        <w:t xml:space="preserve"> DU. Life or Debt: Underinsurance in America. Journal of General Internal Medicine. 2013</w:t>
      </w:r>
      <w:proofErr w:type="gramStart"/>
      <w:r w:rsidRPr="00E016C3">
        <w:rPr>
          <w:sz w:val="22"/>
          <w:szCs w:val="22"/>
        </w:rPr>
        <w:t>;28</w:t>
      </w:r>
      <w:proofErr w:type="gramEnd"/>
      <w:r w:rsidRPr="00E016C3">
        <w:rPr>
          <w:sz w:val="22"/>
          <w:szCs w:val="22"/>
        </w:rPr>
        <w:t>(9):1122–4.</w:t>
      </w:r>
    </w:p>
  </w:endnote>
  <w:endnote w:id="2">
    <w:p w:rsidR="00AB3C8D" w:rsidRPr="00E016C3" w:rsidRDefault="00AB3C8D" w:rsidP="00222F55">
      <w:pPr>
        <w:pStyle w:val="EndnoteText"/>
        <w:rPr>
          <w:sz w:val="22"/>
          <w:szCs w:val="22"/>
        </w:rPr>
      </w:pPr>
      <w:r w:rsidRPr="00E016C3">
        <w:rPr>
          <w:rStyle w:val="EndnoteReference"/>
          <w:sz w:val="22"/>
          <w:szCs w:val="22"/>
        </w:rPr>
        <w:endnoteRef/>
      </w:r>
      <w:r w:rsidRPr="00E016C3">
        <w:rPr>
          <w:sz w:val="22"/>
          <w:szCs w:val="22"/>
        </w:rPr>
        <w:t xml:space="preserve"> Martin AB, Hartman M, Washington B, Catlin A. National Health Spending: Faster Growth In 2015 As Coverage Expands And Utilization Increases. Health Affairs. 2016Feb</w:t>
      </w:r>
      <w:proofErr w:type="gramStart"/>
      <w:r w:rsidRPr="00E016C3">
        <w:rPr>
          <w:sz w:val="22"/>
          <w:szCs w:val="22"/>
        </w:rPr>
        <w:t>;36</w:t>
      </w:r>
      <w:proofErr w:type="gramEnd"/>
      <w:r w:rsidRPr="00E016C3">
        <w:rPr>
          <w:sz w:val="22"/>
          <w:szCs w:val="22"/>
        </w:rPr>
        <w:t>(1):166–76.</w:t>
      </w:r>
    </w:p>
  </w:endnote>
  <w:endnote w:id="3">
    <w:p w:rsidR="00AB3C8D" w:rsidRPr="00E016C3" w:rsidRDefault="00AB3C8D" w:rsidP="00C06E5F">
      <w:pPr>
        <w:pStyle w:val="EndnoteText"/>
        <w:rPr>
          <w:sz w:val="22"/>
          <w:szCs w:val="22"/>
        </w:rPr>
      </w:pPr>
      <w:r w:rsidRPr="00E016C3">
        <w:rPr>
          <w:rStyle w:val="EndnoteReference"/>
          <w:sz w:val="22"/>
          <w:szCs w:val="22"/>
        </w:rPr>
        <w:endnoteRef/>
      </w:r>
      <w:r w:rsidRPr="00E016C3">
        <w:rPr>
          <w:sz w:val="22"/>
          <w:szCs w:val="22"/>
        </w:rPr>
        <w:t xml:space="preserve"> </w:t>
      </w:r>
      <w:proofErr w:type="spellStart"/>
      <w:r w:rsidRPr="00E016C3">
        <w:rPr>
          <w:sz w:val="22"/>
          <w:szCs w:val="22"/>
        </w:rPr>
        <w:t>Himmelstein</w:t>
      </w:r>
      <w:proofErr w:type="spellEnd"/>
      <w:r w:rsidRPr="00E016C3">
        <w:rPr>
          <w:sz w:val="22"/>
          <w:szCs w:val="22"/>
        </w:rPr>
        <w:t xml:space="preserve"> DU, Thorne D, Warren E, </w:t>
      </w:r>
      <w:proofErr w:type="spellStart"/>
      <w:r w:rsidRPr="00E016C3">
        <w:rPr>
          <w:sz w:val="22"/>
          <w:szCs w:val="22"/>
        </w:rPr>
        <w:t>Woolhandler</w:t>
      </w:r>
      <w:proofErr w:type="spellEnd"/>
      <w:r w:rsidRPr="00E016C3">
        <w:rPr>
          <w:sz w:val="22"/>
          <w:szCs w:val="22"/>
        </w:rPr>
        <w:t xml:space="preserve"> S. Medical Bankruptcy in the United States, 2007: Results of a National Study. The American Journal of Medicine. 2009</w:t>
      </w:r>
      <w:proofErr w:type="gramStart"/>
      <w:r w:rsidRPr="00E016C3">
        <w:rPr>
          <w:sz w:val="22"/>
          <w:szCs w:val="22"/>
        </w:rPr>
        <w:t>;122</w:t>
      </w:r>
      <w:proofErr w:type="gramEnd"/>
      <w:r w:rsidRPr="00E016C3">
        <w:rPr>
          <w:sz w:val="22"/>
          <w:szCs w:val="22"/>
        </w:rPr>
        <w:t>(8):741–6.</w:t>
      </w:r>
    </w:p>
  </w:endnote>
  <w:endnote w:id="4">
    <w:p w:rsidR="00144479" w:rsidRPr="00E016C3" w:rsidRDefault="00144479" w:rsidP="00144479">
      <w:pPr>
        <w:pStyle w:val="EndnoteText"/>
        <w:rPr>
          <w:sz w:val="22"/>
          <w:szCs w:val="22"/>
        </w:rPr>
      </w:pPr>
      <w:r w:rsidRPr="00E016C3">
        <w:rPr>
          <w:rStyle w:val="EndnoteReference"/>
          <w:sz w:val="22"/>
          <w:szCs w:val="22"/>
        </w:rPr>
        <w:endnoteRef/>
      </w:r>
      <w:r w:rsidRPr="00E016C3">
        <w:rPr>
          <w:sz w:val="22"/>
          <w:szCs w:val="22"/>
        </w:rPr>
        <w:t xml:space="preserve"> Ramsey S, </w:t>
      </w:r>
      <w:proofErr w:type="spellStart"/>
      <w:r w:rsidRPr="00E016C3">
        <w:rPr>
          <w:sz w:val="22"/>
          <w:szCs w:val="22"/>
        </w:rPr>
        <w:t>Blough</w:t>
      </w:r>
      <w:proofErr w:type="spellEnd"/>
      <w:r w:rsidRPr="00E016C3">
        <w:rPr>
          <w:sz w:val="22"/>
          <w:szCs w:val="22"/>
        </w:rPr>
        <w:t xml:space="preserve"> D, Kirchhoff A, </w:t>
      </w:r>
      <w:proofErr w:type="spellStart"/>
      <w:r w:rsidRPr="00E016C3">
        <w:rPr>
          <w:sz w:val="22"/>
          <w:szCs w:val="22"/>
        </w:rPr>
        <w:t>Kreizenbeck</w:t>
      </w:r>
      <w:proofErr w:type="spellEnd"/>
      <w:r w:rsidRPr="00E016C3">
        <w:rPr>
          <w:sz w:val="22"/>
          <w:szCs w:val="22"/>
        </w:rPr>
        <w:t xml:space="preserve"> K, </w:t>
      </w:r>
      <w:proofErr w:type="spellStart"/>
      <w:r w:rsidRPr="00E016C3">
        <w:rPr>
          <w:sz w:val="22"/>
          <w:szCs w:val="22"/>
        </w:rPr>
        <w:t>Fedorenko</w:t>
      </w:r>
      <w:proofErr w:type="spellEnd"/>
      <w:r w:rsidRPr="00E016C3">
        <w:rPr>
          <w:sz w:val="22"/>
          <w:szCs w:val="22"/>
        </w:rPr>
        <w:t xml:space="preserve"> C, Snell K, et al. Washington State Cancer Patients Found To Be At Greater Risk For Bankruptcy Than People Without A Cancer Diagnosis. Health Affairs. 2013</w:t>
      </w:r>
      <w:proofErr w:type="gramStart"/>
      <w:r w:rsidRPr="00E016C3">
        <w:rPr>
          <w:sz w:val="22"/>
          <w:szCs w:val="22"/>
        </w:rPr>
        <w:t>;32</w:t>
      </w:r>
      <w:proofErr w:type="gramEnd"/>
      <w:r w:rsidRPr="00E016C3">
        <w:rPr>
          <w:sz w:val="22"/>
          <w:szCs w:val="22"/>
        </w:rPr>
        <w:t>(6):1143–52.</w:t>
      </w:r>
    </w:p>
  </w:endnote>
  <w:endnote w:id="5">
    <w:p w:rsidR="00681AE7" w:rsidRPr="00E016C3" w:rsidRDefault="00681AE7">
      <w:pPr>
        <w:pStyle w:val="EndnoteText"/>
        <w:rPr>
          <w:sz w:val="22"/>
          <w:szCs w:val="22"/>
        </w:rPr>
      </w:pPr>
      <w:r w:rsidRPr="00E016C3">
        <w:rPr>
          <w:rStyle w:val="EndnoteReference"/>
          <w:sz w:val="22"/>
          <w:szCs w:val="22"/>
        </w:rPr>
        <w:endnoteRef/>
      </w:r>
      <w:r w:rsidRPr="00E016C3">
        <w:rPr>
          <w:sz w:val="22"/>
          <w:szCs w:val="22"/>
        </w:rPr>
        <w:t xml:space="preserve"> Reinhardt UE. The Pricing </w:t>
      </w:r>
      <w:proofErr w:type="gramStart"/>
      <w:r w:rsidRPr="00E016C3">
        <w:rPr>
          <w:sz w:val="22"/>
          <w:szCs w:val="22"/>
        </w:rPr>
        <w:t>Of</w:t>
      </w:r>
      <w:proofErr w:type="gramEnd"/>
      <w:r w:rsidRPr="00E016C3">
        <w:rPr>
          <w:sz w:val="22"/>
          <w:szCs w:val="22"/>
        </w:rPr>
        <w:t xml:space="preserve"> U.S. Hospital Services: Chaos Behind A Veil Of Secrecy. Health Affairs. 2006Jan</w:t>
      </w:r>
      <w:proofErr w:type="gramStart"/>
      <w:r w:rsidRPr="00E016C3">
        <w:rPr>
          <w:sz w:val="22"/>
          <w:szCs w:val="22"/>
        </w:rPr>
        <w:t>;25</w:t>
      </w:r>
      <w:proofErr w:type="gramEnd"/>
      <w:r w:rsidRPr="00E016C3">
        <w:rPr>
          <w:sz w:val="22"/>
          <w:szCs w:val="22"/>
        </w:rPr>
        <w:t>(1):57–69.</w:t>
      </w:r>
    </w:p>
  </w:endnote>
  <w:endnote w:id="6">
    <w:p w:rsidR="005808BC" w:rsidRPr="00E016C3" w:rsidRDefault="005808BC" w:rsidP="005808BC">
      <w:pPr>
        <w:pStyle w:val="EndnoteText"/>
        <w:rPr>
          <w:sz w:val="22"/>
          <w:szCs w:val="22"/>
        </w:rPr>
      </w:pPr>
      <w:r w:rsidRPr="00E016C3">
        <w:rPr>
          <w:rStyle w:val="EndnoteReference"/>
          <w:sz w:val="22"/>
          <w:szCs w:val="22"/>
        </w:rPr>
        <w:endnoteRef/>
      </w:r>
      <w:r w:rsidR="000B40C9" w:rsidRPr="00E016C3">
        <w:rPr>
          <w:sz w:val="22"/>
          <w:szCs w:val="22"/>
        </w:rPr>
        <w:t>National Center for Health Statistics, U.S. Census Bureau. Comparison of the Prevalence of Uninsured Persons from the National Health Interview Survey and the Current Population Survey, 2015 and 2016. September 2016. Available from: http://www.cdc.gov/nchs/data/nhis/health_insurance/NCHS_CPS_Comparison092016.pdf.</w:t>
      </w:r>
    </w:p>
  </w:endnote>
  <w:endnote w:id="7">
    <w:p w:rsidR="00A801BB" w:rsidRPr="00E016C3" w:rsidRDefault="00A801BB" w:rsidP="00A801BB">
      <w:pPr>
        <w:pStyle w:val="EndnoteText"/>
        <w:rPr>
          <w:sz w:val="22"/>
          <w:szCs w:val="22"/>
        </w:rPr>
      </w:pPr>
      <w:r w:rsidRPr="00E016C3">
        <w:rPr>
          <w:rStyle w:val="EndnoteReference"/>
          <w:sz w:val="22"/>
          <w:szCs w:val="22"/>
        </w:rPr>
        <w:endnoteRef/>
      </w:r>
      <w:r w:rsidRPr="00E016C3">
        <w:rPr>
          <w:sz w:val="22"/>
          <w:szCs w:val="22"/>
        </w:rPr>
        <w:t xml:space="preserve"> National Health Expenditure Fact Sheet [Internet]. CMS.gov. Centers for Medicare &amp; Medicaid Services; 2017 [cited 2017Apr13]. Available from: http://www.cms.gov/Research-Statistics-Data-and-Systems/Statistics-Trends-and-Reports/NationalHealthExpendData/NHE-Fact-Sheet.html</w:t>
      </w:r>
    </w:p>
  </w:endnote>
  <w:endnote w:id="8">
    <w:p w:rsidR="000D7274" w:rsidRPr="00E016C3" w:rsidRDefault="000D7274">
      <w:pPr>
        <w:pStyle w:val="EndnoteText"/>
        <w:rPr>
          <w:sz w:val="22"/>
          <w:szCs w:val="22"/>
        </w:rPr>
      </w:pPr>
      <w:r w:rsidRPr="00E016C3">
        <w:rPr>
          <w:rStyle w:val="EndnoteReference"/>
          <w:sz w:val="22"/>
          <w:szCs w:val="22"/>
        </w:rPr>
        <w:endnoteRef/>
      </w:r>
      <w:r w:rsidRPr="00E016C3">
        <w:rPr>
          <w:sz w:val="22"/>
          <w:szCs w:val="22"/>
        </w:rPr>
        <w:t xml:space="preserve"> </w:t>
      </w:r>
      <w:r w:rsidR="00060C2C" w:rsidRPr="00E016C3">
        <w:rPr>
          <w:rStyle w:val="apple-converted-space"/>
          <w:rFonts w:ascii="Helvetica" w:hAnsi="Helvetica" w:cs="Helvetica"/>
          <w:color w:val="000000"/>
          <w:sz w:val="22"/>
          <w:szCs w:val="22"/>
          <w:shd w:val="clear" w:color="auto" w:fill="FFFFFF"/>
        </w:rPr>
        <w:t> </w:t>
      </w:r>
      <w:r w:rsidR="00060C2C" w:rsidRPr="00E016C3">
        <w:rPr>
          <w:rStyle w:val="citationtext"/>
          <w:rFonts w:ascii="Helvetica" w:hAnsi="Helvetica" w:cs="Helvetica"/>
          <w:color w:val="000000"/>
          <w:sz w:val="22"/>
          <w:szCs w:val="22"/>
          <w:shd w:val="clear" w:color="auto" w:fill="FFFFFF"/>
        </w:rPr>
        <w:t>Park JD, Kim E, Werner RM. Inpatient Hospital Charge Variability of U.S. Hospitals. Journal of General Internal Medicine. 2015Jan</w:t>
      </w:r>
      <w:proofErr w:type="gramStart"/>
      <w:r w:rsidR="00060C2C" w:rsidRPr="00E016C3">
        <w:rPr>
          <w:rStyle w:val="citationtext"/>
          <w:rFonts w:ascii="Helvetica" w:hAnsi="Helvetica" w:cs="Helvetica"/>
          <w:color w:val="000000"/>
          <w:sz w:val="22"/>
          <w:szCs w:val="22"/>
          <w:shd w:val="clear" w:color="auto" w:fill="FFFFFF"/>
        </w:rPr>
        <w:t>;30</w:t>
      </w:r>
      <w:proofErr w:type="gramEnd"/>
      <w:r w:rsidR="00060C2C" w:rsidRPr="00E016C3">
        <w:rPr>
          <w:rStyle w:val="citationtext"/>
          <w:rFonts w:ascii="Helvetica" w:hAnsi="Helvetica" w:cs="Helvetica"/>
          <w:color w:val="000000"/>
          <w:sz w:val="22"/>
          <w:szCs w:val="22"/>
          <w:shd w:val="clear" w:color="auto" w:fill="FFFFFF"/>
        </w:rPr>
        <w:t>(11):1627–32.</w:t>
      </w:r>
    </w:p>
  </w:endnote>
  <w:endnote w:id="9">
    <w:p w:rsidR="00060C2C" w:rsidRPr="00E016C3" w:rsidRDefault="00060C2C" w:rsidP="00060C2C">
      <w:pPr>
        <w:pStyle w:val="EndnoteText"/>
        <w:rPr>
          <w:sz w:val="22"/>
          <w:szCs w:val="22"/>
        </w:rPr>
      </w:pPr>
      <w:r w:rsidRPr="00E016C3">
        <w:rPr>
          <w:rStyle w:val="EndnoteReference"/>
          <w:sz w:val="22"/>
          <w:szCs w:val="22"/>
        </w:rPr>
        <w:endnoteRef/>
      </w:r>
      <w:r w:rsidRPr="00E016C3">
        <w:rPr>
          <w:sz w:val="22"/>
          <w:szCs w:val="22"/>
        </w:rPr>
        <w:t xml:space="preserve"> </w:t>
      </w:r>
      <w:r w:rsidR="00650F43" w:rsidRPr="00E016C3">
        <w:rPr>
          <w:rStyle w:val="citationtext"/>
          <w:rFonts w:ascii="Helvetica" w:hAnsi="Helvetica" w:cs="Helvetica"/>
          <w:color w:val="000000"/>
          <w:sz w:val="22"/>
          <w:szCs w:val="22"/>
          <w:shd w:val="clear" w:color="auto" w:fill="FFFFFF"/>
        </w:rPr>
        <w:t>Park JD, Kim E, Werner RM. Inpatient Hospital Charge Variability of U.S. Hospitals. Journal of General Internal Medicine. 2015Jan</w:t>
      </w:r>
      <w:proofErr w:type="gramStart"/>
      <w:r w:rsidR="00650F43" w:rsidRPr="00E016C3">
        <w:rPr>
          <w:rStyle w:val="citationtext"/>
          <w:rFonts w:ascii="Helvetica" w:hAnsi="Helvetica" w:cs="Helvetica"/>
          <w:color w:val="000000"/>
          <w:sz w:val="22"/>
          <w:szCs w:val="22"/>
          <w:shd w:val="clear" w:color="auto" w:fill="FFFFFF"/>
        </w:rPr>
        <w:t>;30</w:t>
      </w:r>
      <w:proofErr w:type="gramEnd"/>
      <w:r w:rsidR="00650F43" w:rsidRPr="00E016C3">
        <w:rPr>
          <w:rStyle w:val="citationtext"/>
          <w:rFonts w:ascii="Helvetica" w:hAnsi="Helvetica" w:cs="Helvetica"/>
          <w:color w:val="000000"/>
          <w:sz w:val="22"/>
          <w:szCs w:val="22"/>
          <w:shd w:val="clear" w:color="auto" w:fill="FFFFFF"/>
        </w:rPr>
        <w:t>(11):1627–32.</w:t>
      </w:r>
    </w:p>
  </w:endnote>
  <w:endnote w:id="10">
    <w:p w:rsidR="00420FE4" w:rsidRPr="00E016C3" w:rsidRDefault="00420FE4">
      <w:pPr>
        <w:pStyle w:val="EndnoteText"/>
        <w:rPr>
          <w:sz w:val="22"/>
          <w:szCs w:val="22"/>
        </w:rPr>
      </w:pPr>
      <w:r w:rsidRPr="00E016C3">
        <w:rPr>
          <w:rStyle w:val="EndnoteReference"/>
          <w:sz w:val="22"/>
          <w:szCs w:val="22"/>
        </w:rPr>
        <w:endnoteRef/>
      </w:r>
      <w:r w:rsidRPr="00E016C3">
        <w:rPr>
          <w:sz w:val="22"/>
          <w:szCs w:val="22"/>
        </w:rPr>
        <w:t xml:space="preserve"> Ginsburg PB. Wide variation in hospital and physician payment rates evidence of provider market power. [Internet]. Research brief. U.S. National Library of Medicine; 2010 [cited 2017Apr30]. Available from: https://www.ncbi.nlm.nih.gov/pubmed/21117341</w:t>
      </w:r>
    </w:p>
  </w:endnote>
  <w:endnote w:id="11">
    <w:p w:rsidR="00C55369" w:rsidRPr="00E016C3" w:rsidRDefault="00C55369" w:rsidP="00C55369">
      <w:pPr>
        <w:pStyle w:val="EndnoteText"/>
        <w:rPr>
          <w:sz w:val="22"/>
          <w:szCs w:val="22"/>
        </w:rPr>
      </w:pPr>
      <w:r w:rsidRPr="00E016C3">
        <w:rPr>
          <w:rStyle w:val="EndnoteReference"/>
          <w:sz w:val="22"/>
          <w:szCs w:val="22"/>
        </w:rPr>
        <w:endnoteRef/>
      </w:r>
      <w:r w:rsidRPr="00E016C3">
        <w:rPr>
          <w:sz w:val="22"/>
          <w:szCs w:val="22"/>
        </w:rPr>
        <w:t xml:space="preserve"> Bai G, Anderson GF. US Hospitals Are Still Using Chargemaster Markups To Maximize Revenues. Health Affairs. 2016Jan</w:t>
      </w:r>
      <w:proofErr w:type="gramStart"/>
      <w:r w:rsidRPr="00E016C3">
        <w:rPr>
          <w:sz w:val="22"/>
          <w:szCs w:val="22"/>
        </w:rPr>
        <w:t>;35</w:t>
      </w:r>
      <w:proofErr w:type="gramEnd"/>
      <w:r w:rsidRPr="00E016C3">
        <w:rPr>
          <w:sz w:val="22"/>
          <w:szCs w:val="22"/>
        </w:rPr>
        <w:t>(9):1658–64.</w:t>
      </w:r>
    </w:p>
  </w:endnote>
  <w:endnote w:id="12">
    <w:p w:rsidR="0000657B" w:rsidRPr="00E016C3" w:rsidRDefault="0000657B">
      <w:pPr>
        <w:pStyle w:val="EndnoteText"/>
        <w:rPr>
          <w:sz w:val="22"/>
          <w:szCs w:val="22"/>
        </w:rPr>
      </w:pPr>
      <w:r w:rsidRPr="00E016C3">
        <w:rPr>
          <w:rStyle w:val="EndnoteReference"/>
          <w:sz w:val="22"/>
          <w:szCs w:val="22"/>
        </w:rPr>
        <w:endnoteRef/>
      </w:r>
      <w:r w:rsidRPr="00E016C3">
        <w:rPr>
          <w:sz w:val="22"/>
          <w:szCs w:val="22"/>
        </w:rPr>
        <w:t xml:space="preserve"> </w:t>
      </w:r>
      <w:proofErr w:type="spellStart"/>
      <w:r w:rsidRPr="00E016C3">
        <w:rPr>
          <w:sz w:val="22"/>
          <w:szCs w:val="22"/>
        </w:rPr>
        <w:t>Abdelsattar</w:t>
      </w:r>
      <w:proofErr w:type="spellEnd"/>
      <w:r w:rsidRPr="00E016C3">
        <w:rPr>
          <w:sz w:val="22"/>
          <w:szCs w:val="22"/>
        </w:rPr>
        <w:t xml:space="preserve"> ZM, </w:t>
      </w:r>
      <w:proofErr w:type="spellStart"/>
      <w:r w:rsidRPr="00E016C3">
        <w:rPr>
          <w:sz w:val="22"/>
          <w:szCs w:val="22"/>
        </w:rPr>
        <w:t>Birkmeyer</w:t>
      </w:r>
      <w:proofErr w:type="spellEnd"/>
      <w:r w:rsidRPr="00E016C3">
        <w:rPr>
          <w:sz w:val="22"/>
          <w:szCs w:val="22"/>
        </w:rPr>
        <w:t xml:space="preserve"> JD, Wong SL. Variation in Medicare Payments for Colorectal Cancer Surgery. Journal of Oncology Practice. 2015</w:t>
      </w:r>
      <w:proofErr w:type="gramStart"/>
      <w:r w:rsidRPr="00E016C3">
        <w:rPr>
          <w:sz w:val="22"/>
          <w:szCs w:val="22"/>
        </w:rPr>
        <w:t>;11</w:t>
      </w:r>
      <w:proofErr w:type="gramEnd"/>
      <w:r w:rsidRPr="00E016C3">
        <w:rPr>
          <w:sz w:val="22"/>
          <w:szCs w:val="22"/>
        </w:rPr>
        <w:t>(5):391–5.</w:t>
      </w:r>
    </w:p>
  </w:endnote>
  <w:endnote w:id="13">
    <w:p w:rsidR="0000657B" w:rsidRPr="00E016C3" w:rsidRDefault="0000657B" w:rsidP="0000657B">
      <w:pPr>
        <w:pStyle w:val="EndnoteText"/>
        <w:rPr>
          <w:sz w:val="22"/>
          <w:szCs w:val="22"/>
        </w:rPr>
      </w:pPr>
      <w:r w:rsidRPr="00E016C3">
        <w:rPr>
          <w:rStyle w:val="EndnoteReference"/>
          <w:sz w:val="22"/>
          <w:szCs w:val="22"/>
        </w:rPr>
        <w:endnoteRef/>
      </w:r>
      <w:r w:rsidRPr="00E016C3">
        <w:rPr>
          <w:sz w:val="22"/>
          <w:szCs w:val="22"/>
        </w:rPr>
        <w:t xml:space="preserve"> Welch WP, Miller ME, Welch HG, Fisher ES, </w:t>
      </w:r>
      <w:proofErr w:type="spellStart"/>
      <w:r w:rsidRPr="00E016C3">
        <w:rPr>
          <w:sz w:val="22"/>
          <w:szCs w:val="22"/>
        </w:rPr>
        <w:t>Wennberg</w:t>
      </w:r>
      <w:proofErr w:type="spellEnd"/>
      <w:r w:rsidRPr="00E016C3">
        <w:rPr>
          <w:sz w:val="22"/>
          <w:szCs w:val="22"/>
        </w:rPr>
        <w:t xml:space="preserve"> JE. Geographic variation in expenditures for physicians' services in the United States N </w:t>
      </w:r>
      <w:proofErr w:type="spellStart"/>
      <w:r w:rsidRPr="00E016C3">
        <w:rPr>
          <w:sz w:val="22"/>
          <w:szCs w:val="22"/>
        </w:rPr>
        <w:t>Engl</w:t>
      </w:r>
      <w:proofErr w:type="spellEnd"/>
      <w:r w:rsidRPr="00E016C3">
        <w:rPr>
          <w:sz w:val="22"/>
          <w:szCs w:val="22"/>
        </w:rPr>
        <w:t xml:space="preserve"> J Med 1993328621-7.</w:t>
      </w:r>
    </w:p>
  </w:endnote>
  <w:endnote w:id="14">
    <w:p w:rsidR="00AB3C8D" w:rsidRPr="00E016C3" w:rsidRDefault="00AB3C8D">
      <w:pPr>
        <w:pStyle w:val="EndnoteText"/>
        <w:rPr>
          <w:color w:val="FF0000"/>
          <w:sz w:val="22"/>
          <w:szCs w:val="22"/>
        </w:rPr>
      </w:pPr>
      <w:r w:rsidRPr="00E016C3">
        <w:rPr>
          <w:rStyle w:val="EndnoteReference"/>
          <w:sz w:val="22"/>
          <w:szCs w:val="22"/>
        </w:rPr>
        <w:endnoteRef/>
      </w:r>
      <w:r w:rsidR="0079508F" w:rsidRPr="00E016C3">
        <w:rPr>
          <w:sz w:val="22"/>
          <w:szCs w:val="22"/>
        </w:rPr>
        <w:t>Centers for Medicare and Medicaid Services. Inpatient Public Use Data Files [Internet]. Medicare Provider Charge Data. Centers for Medicare and Medicaid Services; 2016 [cited 2017Apr30]. Available from: https://www.cms.gov/research-statistics-data-and-systems/statistics-trends-and-reports/medicare-provider-charge-data/inpatient.html</w:t>
      </w:r>
    </w:p>
  </w:endnote>
  <w:endnote w:id="15">
    <w:p w:rsidR="00AB3C8D" w:rsidRPr="00E016C3" w:rsidRDefault="00AB3C8D">
      <w:pPr>
        <w:pStyle w:val="EndnoteText"/>
        <w:rPr>
          <w:sz w:val="22"/>
          <w:szCs w:val="22"/>
        </w:rPr>
      </w:pPr>
      <w:r w:rsidRPr="00E016C3">
        <w:rPr>
          <w:rStyle w:val="EndnoteReference"/>
          <w:sz w:val="22"/>
          <w:szCs w:val="22"/>
        </w:rPr>
        <w:endnoteRef/>
      </w:r>
      <w:r w:rsidRPr="00E016C3">
        <w:rPr>
          <w:sz w:val="22"/>
          <w:szCs w:val="22"/>
        </w:rPr>
        <w:t xml:space="preserve"> </w:t>
      </w:r>
      <w:r w:rsidR="003B5C56" w:rsidRPr="00E016C3">
        <w:rPr>
          <w:sz w:val="22"/>
          <w:szCs w:val="22"/>
        </w:rPr>
        <w:t>Google. Google API Console [Internet]. Google API Console. Google; [cited 2017Apr30]. Available from: https://console.developers.google.com/</w:t>
      </w:r>
    </w:p>
  </w:endnote>
  <w:endnote w:id="16">
    <w:p w:rsidR="000A3053" w:rsidRPr="00E016C3" w:rsidRDefault="000A3053">
      <w:pPr>
        <w:pStyle w:val="EndnoteText"/>
        <w:rPr>
          <w:sz w:val="22"/>
          <w:szCs w:val="22"/>
        </w:rPr>
      </w:pPr>
      <w:r w:rsidRPr="00E016C3">
        <w:rPr>
          <w:rStyle w:val="EndnoteReference"/>
          <w:sz w:val="22"/>
          <w:szCs w:val="22"/>
        </w:rPr>
        <w:endnoteRef/>
      </w:r>
      <w:r w:rsidRPr="00E016C3">
        <w:rPr>
          <w:sz w:val="22"/>
          <w:szCs w:val="22"/>
        </w:rPr>
        <w:t xml:space="preserve"> CITEME ACS.</w:t>
      </w:r>
    </w:p>
  </w:endnote>
  <w:endnote w:id="17">
    <w:p w:rsidR="00C85E28" w:rsidRPr="00E016C3" w:rsidRDefault="00C85E28">
      <w:pPr>
        <w:pStyle w:val="EndnoteText"/>
        <w:rPr>
          <w:sz w:val="22"/>
          <w:szCs w:val="22"/>
        </w:rPr>
      </w:pPr>
      <w:r w:rsidRPr="00E016C3">
        <w:rPr>
          <w:rStyle w:val="EndnoteReference"/>
          <w:sz w:val="22"/>
          <w:szCs w:val="22"/>
        </w:rPr>
        <w:endnoteRef/>
      </w:r>
      <w:r w:rsidRPr="00E016C3">
        <w:rPr>
          <w:sz w:val="22"/>
          <w:szCs w:val="22"/>
        </w:rPr>
        <w:t xml:space="preserve"> Cite R version 3.3.2</w:t>
      </w:r>
    </w:p>
  </w:endnote>
  <w:endnote w:id="18">
    <w:p w:rsidR="000409B1" w:rsidRPr="00E016C3" w:rsidRDefault="000409B1" w:rsidP="000409B1">
      <w:pPr>
        <w:pStyle w:val="EndnoteText"/>
        <w:rPr>
          <w:sz w:val="22"/>
          <w:szCs w:val="22"/>
        </w:rPr>
      </w:pPr>
      <w:r w:rsidRPr="00E016C3">
        <w:rPr>
          <w:rStyle w:val="EndnoteReference"/>
          <w:sz w:val="22"/>
          <w:szCs w:val="22"/>
        </w:rPr>
        <w:endnoteRef/>
      </w:r>
      <w:r w:rsidRPr="00E016C3">
        <w:rPr>
          <w:sz w:val="22"/>
          <w:szCs w:val="22"/>
        </w:rPr>
        <w:t xml:space="preserve"> Cite something about how high chargemaster prices hold insurance companies hostage. </w:t>
      </w:r>
    </w:p>
  </w:endnote>
  <w:endnote w:id="19">
    <w:p w:rsidR="000409B1" w:rsidRPr="00E016C3" w:rsidRDefault="000409B1" w:rsidP="000409B1">
      <w:pPr>
        <w:pStyle w:val="EndnoteText"/>
        <w:rPr>
          <w:sz w:val="22"/>
          <w:szCs w:val="22"/>
        </w:rPr>
      </w:pPr>
      <w:r w:rsidRPr="00E016C3">
        <w:rPr>
          <w:rStyle w:val="EndnoteReference"/>
          <w:sz w:val="22"/>
          <w:szCs w:val="22"/>
        </w:rPr>
        <w:endnoteRef/>
      </w:r>
      <w:r w:rsidRPr="00E016C3">
        <w:rPr>
          <w:sz w:val="22"/>
          <w:szCs w:val="22"/>
        </w:rPr>
        <w:t xml:space="preserve"> Cite recent paper on </w:t>
      </w:r>
      <w:proofErr w:type="spellStart"/>
      <w:r w:rsidRPr="00E016C3">
        <w:rPr>
          <w:sz w:val="22"/>
          <w:szCs w:val="22"/>
        </w:rPr>
        <w:t>medicare</w:t>
      </w:r>
      <w:proofErr w:type="spellEnd"/>
      <w:r w:rsidRPr="00E016C3">
        <w:rPr>
          <w:sz w:val="22"/>
          <w:szCs w:val="22"/>
        </w:rPr>
        <w:t xml:space="preserve"> data where </w:t>
      </w:r>
      <w:proofErr w:type="spellStart"/>
      <w:r w:rsidRPr="00E016C3">
        <w:rPr>
          <w:sz w:val="22"/>
          <w:szCs w:val="22"/>
        </w:rPr>
        <w:t>chargemasters</w:t>
      </w:r>
      <w:proofErr w:type="spellEnd"/>
      <w:r w:rsidRPr="00E016C3">
        <w:rPr>
          <w:sz w:val="22"/>
          <w:szCs w:val="22"/>
        </w:rPr>
        <w:t xml:space="preserve"> increase </w:t>
      </w:r>
      <w:proofErr w:type="spellStart"/>
      <w:r w:rsidRPr="00E016C3">
        <w:rPr>
          <w:sz w:val="22"/>
          <w:szCs w:val="22"/>
        </w:rPr>
        <w:t>payents</w:t>
      </w:r>
      <w:proofErr w:type="spellEnd"/>
      <w:r w:rsidRPr="00E016C3">
        <w:rPr>
          <w:sz w:val="22"/>
          <w:szCs w:val="22"/>
        </w:rPr>
        <w:t xml:space="preserve"> etc. </w:t>
      </w:r>
    </w:p>
  </w:endnote>
  <w:endnote w:id="20">
    <w:p w:rsidR="003C1C49" w:rsidRPr="00E016C3" w:rsidRDefault="003C1C49">
      <w:pPr>
        <w:pStyle w:val="EndnoteText"/>
        <w:rPr>
          <w:sz w:val="22"/>
          <w:szCs w:val="22"/>
        </w:rPr>
      </w:pPr>
      <w:r w:rsidRPr="00E016C3">
        <w:rPr>
          <w:rStyle w:val="EndnoteReference"/>
          <w:sz w:val="22"/>
          <w:szCs w:val="22"/>
        </w:rPr>
        <w:endnoteRef/>
      </w:r>
      <w:r w:rsidRPr="00E016C3">
        <w:rPr>
          <w:sz w:val="22"/>
          <w:szCs w:val="22"/>
        </w:rPr>
        <w:t xml:space="preserve"> Ginsburg PB. Wide variation in hospital and physician payment rates evidence of provider market power. [Internet]. Research brief. U.S. National Library of Medicine; 2010 [cited 2017Apr30]. Available from: https://www.ncbi.nlm.nih.gov/pubmed/21117341</w:t>
      </w:r>
    </w:p>
  </w:endnote>
  <w:endnote w:id="21">
    <w:p w:rsidR="00097EED" w:rsidRPr="00E016C3" w:rsidRDefault="00097EED" w:rsidP="00097EED">
      <w:pPr>
        <w:pStyle w:val="EndnoteText"/>
        <w:rPr>
          <w:sz w:val="22"/>
          <w:szCs w:val="22"/>
        </w:rPr>
      </w:pPr>
      <w:r w:rsidRPr="00E016C3">
        <w:rPr>
          <w:rStyle w:val="EndnoteReference"/>
          <w:sz w:val="22"/>
          <w:szCs w:val="22"/>
        </w:rPr>
        <w:endnoteRef/>
      </w:r>
      <w:r w:rsidRPr="00E016C3">
        <w:rPr>
          <w:sz w:val="22"/>
          <w:szCs w:val="22"/>
        </w:rPr>
        <w:t xml:space="preserve"> Hospital-Acquired Condition Reduction Program (HACRP) [Internet]. CMS.gov Centers for Medicare &amp; Medicaid Services. Centers for Medicare and Medicaid Services; 2016 [cited 2017Apr30]. Available from: http://www.cms.gov/Medicare/Medicare-Fee-for-Service-Payment/AcuteInpatientPPS/HAC-Reduction-Program.html</w:t>
      </w:r>
    </w:p>
  </w:endnote>
  <w:endnote w:id="22">
    <w:p w:rsidR="00097EED" w:rsidRPr="00E016C3" w:rsidRDefault="00097EED" w:rsidP="00097EED">
      <w:pPr>
        <w:pStyle w:val="EndnoteText"/>
        <w:rPr>
          <w:sz w:val="22"/>
          <w:szCs w:val="22"/>
        </w:rPr>
      </w:pPr>
      <w:r w:rsidRPr="00E016C3">
        <w:rPr>
          <w:rStyle w:val="EndnoteReference"/>
          <w:sz w:val="22"/>
          <w:szCs w:val="22"/>
        </w:rPr>
        <w:endnoteRef/>
      </w:r>
      <w:r w:rsidRPr="00E016C3">
        <w:rPr>
          <w:sz w:val="22"/>
          <w:szCs w:val="22"/>
        </w:rPr>
        <w:t xml:space="preserve"> </w:t>
      </w:r>
    </w:p>
  </w:endnote>
  <w:endnote w:id="23">
    <w:p w:rsidR="00AB3C8D" w:rsidRPr="00E016C3" w:rsidRDefault="00AB3C8D">
      <w:pPr>
        <w:pStyle w:val="EndnoteText"/>
        <w:rPr>
          <w:rFonts w:ascii="Helvetica" w:hAnsi="Helvetica" w:cs="Helvetica"/>
          <w:color w:val="000000"/>
          <w:sz w:val="22"/>
          <w:szCs w:val="22"/>
          <w:shd w:val="clear" w:color="auto" w:fill="FFFFFF"/>
        </w:rPr>
      </w:pPr>
      <w:r w:rsidRPr="00E016C3">
        <w:rPr>
          <w:rStyle w:val="EndnoteReference"/>
          <w:sz w:val="22"/>
          <w:szCs w:val="22"/>
        </w:rPr>
        <w:endnoteRef/>
      </w:r>
      <w:r w:rsidRPr="00E016C3">
        <w:rPr>
          <w:sz w:val="22"/>
          <w:szCs w:val="22"/>
        </w:rPr>
        <w:t xml:space="preserve"> </w:t>
      </w:r>
      <w:r w:rsidRPr="00E016C3">
        <w:rPr>
          <w:rFonts w:ascii="Helvetica" w:hAnsi="Helvetica" w:cs="Helvetica"/>
          <w:color w:val="000000"/>
          <w:sz w:val="22"/>
          <w:szCs w:val="22"/>
          <w:shd w:val="clear" w:color="auto" w:fill="FFFFFF"/>
        </w:rPr>
        <w:t>Burke LA, Ryan AM. The Complex Relationship between Cost and Quality in US Health Care. Virtual Mentor. 2014</w:t>
      </w:r>
      <w:proofErr w:type="gramStart"/>
      <w:r w:rsidRPr="00E016C3">
        <w:rPr>
          <w:rFonts w:ascii="Helvetica" w:hAnsi="Helvetica" w:cs="Helvetica"/>
          <w:color w:val="000000"/>
          <w:sz w:val="22"/>
          <w:szCs w:val="22"/>
          <w:shd w:val="clear" w:color="auto" w:fill="FFFFFF"/>
        </w:rPr>
        <w:t>;16</w:t>
      </w:r>
      <w:proofErr w:type="gramEnd"/>
      <w:r w:rsidRPr="00E016C3">
        <w:rPr>
          <w:rFonts w:ascii="Helvetica" w:hAnsi="Helvetica" w:cs="Helvetica"/>
          <w:color w:val="000000"/>
          <w:sz w:val="22"/>
          <w:szCs w:val="22"/>
          <w:shd w:val="clear" w:color="auto" w:fill="FFFFFF"/>
        </w:rPr>
        <w:t>(2):124–30.</w:t>
      </w:r>
    </w:p>
  </w:endnote>
  <w:endnote w:id="24">
    <w:p w:rsidR="00C915BE" w:rsidRPr="00E016C3" w:rsidRDefault="00C915BE" w:rsidP="00C915BE">
      <w:pPr>
        <w:pStyle w:val="EndnoteText"/>
        <w:rPr>
          <w:sz w:val="22"/>
          <w:szCs w:val="22"/>
        </w:rPr>
      </w:pPr>
      <w:r w:rsidRPr="00E016C3">
        <w:rPr>
          <w:rStyle w:val="EndnoteReference"/>
          <w:sz w:val="22"/>
          <w:szCs w:val="22"/>
        </w:rPr>
        <w:endnoteRef/>
      </w:r>
      <w:r w:rsidRPr="00E016C3">
        <w:rPr>
          <w:sz w:val="22"/>
          <w:szCs w:val="22"/>
        </w:rPr>
        <w:t xml:space="preserve"> </w:t>
      </w:r>
    </w:p>
    <w:p w:rsidR="00C915BE" w:rsidRDefault="00C915BE" w:rsidP="00C915BE">
      <w:pPr>
        <w:pStyle w:val="EndnoteText"/>
      </w:pPr>
    </w:p>
    <w:p w:rsidR="00C915BE" w:rsidRDefault="00C915BE" w:rsidP="00C915BE">
      <w:pPr>
        <w:pStyle w:val="EndnoteText"/>
      </w:pPr>
    </w:p>
    <w:p w:rsidR="00C915BE" w:rsidRPr="002A00EF" w:rsidRDefault="00C915BE" w:rsidP="00C915BE">
      <w:pPr>
        <w:pStyle w:val="Header"/>
        <w:rPr>
          <w:color w:val="FF0000"/>
        </w:rPr>
      </w:pPr>
      <w:r w:rsidRPr="002A00EF">
        <w:rPr>
          <w:color w:val="FF0000"/>
        </w:rPr>
        <w:t xml:space="preserve">Info on formatting:  </w:t>
      </w:r>
      <w:hyperlink r:id="rId1" w:history="1">
        <w:r w:rsidRPr="002A00EF">
          <w:rPr>
            <w:rStyle w:val="Hyperlink"/>
            <w:color w:val="FF0000"/>
          </w:rPr>
          <w:t>http://www.healthaffairs.org/1410i_for_authors_prep_and_review.php</w:t>
        </w:r>
      </w:hyperlink>
    </w:p>
    <w:p w:rsidR="00C915BE" w:rsidRPr="002A00EF" w:rsidRDefault="00C915BE" w:rsidP="00C915BE">
      <w:pPr>
        <w:pStyle w:val="Header"/>
        <w:rPr>
          <w:color w:val="FF0000"/>
        </w:rPr>
      </w:pPr>
      <w:r w:rsidRPr="002A00EF">
        <w:rPr>
          <w:color w:val="FF0000"/>
        </w:rPr>
        <w:t xml:space="preserve">Note: Paper will need to be converted into 12 </w:t>
      </w:r>
      <w:proofErr w:type="spellStart"/>
      <w:r w:rsidRPr="002A00EF">
        <w:rPr>
          <w:color w:val="FF0000"/>
        </w:rPr>
        <w:t>pt</w:t>
      </w:r>
      <w:proofErr w:type="spellEnd"/>
      <w:r w:rsidRPr="002A00EF">
        <w:rPr>
          <w:color w:val="FF0000"/>
        </w:rPr>
        <w:t xml:space="preserve"> Courier New font with double-spacing and a minimum of 1-inch margins. This applies to all main text, abstract, and notes.</w:t>
      </w:r>
    </w:p>
    <w:p w:rsidR="00C915BE" w:rsidRDefault="00C915BE" w:rsidP="00C915BE">
      <w:pPr>
        <w:pStyle w:val="EndnoteText"/>
      </w:pPr>
    </w:p>
    <w:p w:rsidR="00C915BE" w:rsidRDefault="00C915BE" w:rsidP="00C915BE">
      <w:pPr>
        <w:pStyle w:val="EndnoteText"/>
      </w:pPr>
      <w:proofErr w:type="spellStart"/>
      <w:r>
        <w:rPr>
          <w:rFonts w:ascii="Helvetica" w:hAnsi="Helvetica" w:cs="Helvetica"/>
          <w:color w:val="000000"/>
          <w:sz w:val="21"/>
          <w:szCs w:val="21"/>
          <w:shd w:val="clear" w:color="auto" w:fill="FFFFFF"/>
        </w:rPr>
        <w:t>Schousboe</w:t>
      </w:r>
      <w:proofErr w:type="spellEnd"/>
      <w:r>
        <w:rPr>
          <w:rFonts w:ascii="Helvetica" w:hAnsi="Helvetica" w:cs="Helvetica"/>
          <w:color w:val="000000"/>
          <w:sz w:val="21"/>
          <w:szCs w:val="21"/>
          <w:shd w:val="clear" w:color="auto" w:fill="FFFFFF"/>
        </w:rPr>
        <w:t xml:space="preserve"> JT, </w:t>
      </w:r>
      <w:proofErr w:type="spellStart"/>
      <w:r>
        <w:rPr>
          <w:rFonts w:ascii="Helvetica" w:hAnsi="Helvetica" w:cs="Helvetica"/>
          <w:color w:val="000000"/>
          <w:sz w:val="21"/>
          <w:szCs w:val="21"/>
          <w:shd w:val="clear" w:color="auto" w:fill="FFFFFF"/>
        </w:rPr>
        <w:t>Paudel</w:t>
      </w:r>
      <w:proofErr w:type="spellEnd"/>
      <w:r>
        <w:rPr>
          <w:rFonts w:ascii="Helvetica" w:hAnsi="Helvetica" w:cs="Helvetica"/>
          <w:color w:val="000000"/>
          <w:sz w:val="21"/>
          <w:szCs w:val="21"/>
          <w:shd w:val="clear" w:color="auto" w:fill="FFFFFF"/>
        </w:rPr>
        <w:t xml:space="preserve"> ML, Taylor BC, Mau L-W, </w:t>
      </w:r>
      <w:proofErr w:type="spellStart"/>
      <w:r>
        <w:rPr>
          <w:rFonts w:ascii="Helvetica" w:hAnsi="Helvetica" w:cs="Helvetica"/>
          <w:color w:val="000000"/>
          <w:sz w:val="21"/>
          <w:szCs w:val="21"/>
          <w:shd w:val="clear" w:color="auto" w:fill="FFFFFF"/>
        </w:rPr>
        <w:t>Virnig</w:t>
      </w:r>
      <w:proofErr w:type="spellEnd"/>
      <w:r>
        <w:rPr>
          <w:rFonts w:ascii="Helvetica" w:hAnsi="Helvetica" w:cs="Helvetica"/>
          <w:color w:val="000000"/>
          <w:sz w:val="21"/>
          <w:szCs w:val="21"/>
          <w:shd w:val="clear" w:color="auto" w:fill="FFFFFF"/>
        </w:rPr>
        <w:t xml:space="preserve"> BA, </w:t>
      </w:r>
      <w:proofErr w:type="spellStart"/>
      <w:r>
        <w:rPr>
          <w:rFonts w:ascii="Helvetica" w:hAnsi="Helvetica" w:cs="Helvetica"/>
          <w:color w:val="000000"/>
          <w:sz w:val="21"/>
          <w:szCs w:val="21"/>
          <w:shd w:val="clear" w:color="auto" w:fill="FFFFFF"/>
        </w:rPr>
        <w:t>Ensrud</w:t>
      </w:r>
      <w:proofErr w:type="spellEnd"/>
      <w:r>
        <w:rPr>
          <w:rFonts w:ascii="Helvetica" w:hAnsi="Helvetica" w:cs="Helvetica"/>
          <w:color w:val="000000"/>
          <w:sz w:val="21"/>
          <w:szCs w:val="21"/>
          <w:shd w:val="clear" w:color="auto" w:fill="FFFFFF"/>
        </w:rPr>
        <w:t xml:space="preserve"> KE, et al. Estimation of Standardized Hospital Costs from Medicare Claims That Reflect Resource Requirements for Care: Impact for Cohort Studies Linked to Medicare Claims. Health Services Research. 2014</w:t>
      </w:r>
      <w:proofErr w:type="gramStart"/>
      <w:r>
        <w:rPr>
          <w:rFonts w:ascii="Helvetica" w:hAnsi="Helvetica" w:cs="Helvetica"/>
          <w:color w:val="000000"/>
          <w:sz w:val="21"/>
          <w:szCs w:val="21"/>
          <w:shd w:val="clear" w:color="auto" w:fill="FFFFFF"/>
        </w:rPr>
        <w:t>;49</w:t>
      </w:r>
      <w:proofErr w:type="gramEnd"/>
      <w:r>
        <w:rPr>
          <w:rFonts w:ascii="Helvetica" w:hAnsi="Helvetica" w:cs="Helvetica"/>
          <w:color w:val="000000"/>
          <w:sz w:val="21"/>
          <w:szCs w:val="21"/>
          <w:shd w:val="clear" w:color="auto" w:fill="FFFFFF"/>
        </w:rPr>
        <w:t>(3):929–49.</w:t>
      </w:r>
      <w:r w:rsidRPr="000D7274">
        <w:t xml:space="preserve"> </w:t>
      </w:r>
      <w:r w:rsidRPr="000D7274">
        <w:rPr>
          <w:rFonts w:ascii="Helvetica" w:hAnsi="Helvetica" w:cs="Helvetica"/>
          <w:color w:val="000000"/>
          <w:sz w:val="21"/>
          <w:szCs w:val="21"/>
          <w:shd w:val="clear" w:color="auto" w:fill="FFFFFF"/>
        </w:rPr>
        <w:t>Park JD, Kim E, Werner RM. Inpatient Hospital Charge Variability of U.S. Hospitals. Journal of General Internal Medicine. 2015Jan</w:t>
      </w:r>
      <w:proofErr w:type="gramStart"/>
      <w:r w:rsidRPr="000D7274">
        <w:rPr>
          <w:rFonts w:ascii="Helvetica" w:hAnsi="Helvetica" w:cs="Helvetica"/>
          <w:color w:val="000000"/>
          <w:sz w:val="21"/>
          <w:szCs w:val="21"/>
          <w:shd w:val="clear" w:color="auto" w:fill="FFFFFF"/>
        </w:rPr>
        <w:t>;30</w:t>
      </w:r>
      <w:proofErr w:type="gramEnd"/>
      <w:r w:rsidRPr="000D7274">
        <w:rPr>
          <w:rFonts w:ascii="Helvetica" w:hAnsi="Helvetica" w:cs="Helvetica"/>
          <w:color w:val="000000"/>
          <w:sz w:val="21"/>
          <w:szCs w:val="21"/>
          <w:shd w:val="clear" w:color="auto" w:fill="FFFFFF"/>
        </w:rPr>
        <w:t>(11):1627–32.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CAA" w:rsidRDefault="00265CAA" w:rsidP="00FC2DAF">
      <w:pPr>
        <w:spacing w:after="0" w:line="240" w:lineRule="auto"/>
      </w:pPr>
      <w:r>
        <w:separator/>
      </w:r>
    </w:p>
  </w:footnote>
  <w:footnote w:type="continuationSeparator" w:id="0">
    <w:p w:rsidR="00265CAA" w:rsidRDefault="00265CAA" w:rsidP="00FC2D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F24"/>
    <w:rsid w:val="000011CD"/>
    <w:rsid w:val="0000521A"/>
    <w:rsid w:val="0000657B"/>
    <w:rsid w:val="00016297"/>
    <w:rsid w:val="00025377"/>
    <w:rsid w:val="00032647"/>
    <w:rsid w:val="00032657"/>
    <w:rsid w:val="000409B1"/>
    <w:rsid w:val="0004122B"/>
    <w:rsid w:val="00043A4A"/>
    <w:rsid w:val="00043FE3"/>
    <w:rsid w:val="0004516E"/>
    <w:rsid w:val="00045A62"/>
    <w:rsid w:val="0004703C"/>
    <w:rsid w:val="00060C2C"/>
    <w:rsid w:val="000613B8"/>
    <w:rsid w:val="00061415"/>
    <w:rsid w:val="00067897"/>
    <w:rsid w:val="00075B38"/>
    <w:rsid w:val="00077EA3"/>
    <w:rsid w:val="000859B9"/>
    <w:rsid w:val="00090BC3"/>
    <w:rsid w:val="00091655"/>
    <w:rsid w:val="00097EED"/>
    <w:rsid w:val="000A3053"/>
    <w:rsid w:val="000A5ABE"/>
    <w:rsid w:val="000B40C9"/>
    <w:rsid w:val="000B7800"/>
    <w:rsid w:val="000D7274"/>
    <w:rsid w:val="000E4883"/>
    <w:rsid w:val="000E6C5D"/>
    <w:rsid w:val="000E7B57"/>
    <w:rsid w:val="000F3658"/>
    <w:rsid w:val="000F4096"/>
    <w:rsid w:val="000F5F28"/>
    <w:rsid w:val="000F7836"/>
    <w:rsid w:val="00101AD2"/>
    <w:rsid w:val="00106AAC"/>
    <w:rsid w:val="0010712D"/>
    <w:rsid w:val="00113284"/>
    <w:rsid w:val="00115CA6"/>
    <w:rsid w:val="00115E7B"/>
    <w:rsid w:val="00121CB1"/>
    <w:rsid w:val="001232BB"/>
    <w:rsid w:val="001233F1"/>
    <w:rsid w:val="001239CE"/>
    <w:rsid w:val="00123EA1"/>
    <w:rsid w:val="001266E7"/>
    <w:rsid w:val="00130D64"/>
    <w:rsid w:val="0013370E"/>
    <w:rsid w:val="001341AD"/>
    <w:rsid w:val="00135C8C"/>
    <w:rsid w:val="001371C8"/>
    <w:rsid w:val="0014214F"/>
    <w:rsid w:val="00144479"/>
    <w:rsid w:val="00160575"/>
    <w:rsid w:val="00163FBE"/>
    <w:rsid w:val="001658EF"/>
    <w:rsid w:val="00166274"/>
    <w:rsid w:val="00170440"/>
    <w:rsid w:val="00170EC1"/>
    <w:rsid w:val="00177807"/>
    <w:rsid w:val="001827E8"/>
    <w:rsid w:val="00184CED"/>
    <w:rsid w:val="001852DA"/>
    <w:rsid w:val="00187769"/>
    <w:rsid w:val="0019183B"/>
    <w:rsid w:val="00191D0C"/>
    <w:rsid w:val="00192DA6"/>
    <w:rsid w:val="00196CDA"/>
    <w:rsid w:val="001974B4"/>
    <w:rsid w:val="001A7CDD"/>
    <w:rsid w:val="001B1144"/>
    <w:rsid w:val="001C0AB8"/>
    <w:rsid w:val="001D0E72"/>
    <w:rsid w:val="001D1212"/>
    <w:rsid w:val="001D7AD4"/>
    <w:rsid w:val="001D7D19"/>
    <w:rsid w:val="001E0E9F"/>
    <w:rsid w:val="001E51D5"/>
    <w:rsid w:val="001E60D9"/>
    <w:rsid w:val="001F40F1"/>
    <w:rsid w:val="00201C19"/>
    <w:rsid w:val="00216D49"/>
    <w:rsid w:val="002208DC"/>
    <w:rsid w:val="00220C9B"/>
    <w:rsid w:val="002210C2"/>
    <w:rsid w:val="002217CB"/>
    <w:rsid w:val="00222F55"/>
    <w:rsid w:val="00225BA7"/>
    <w:rsid w:val="0022624A"/>
    <w:rsid w:val="00231553"/>
    <w:rsid w:val="002319F0"/>
    <w:rsid w:val="0023680E"/>
    <w:rsid w:val="00244897"/>
    <w:rsid w:val="0025134D"/>
    <w:rsid w:val="0025204C"/>
    <w:rsid w:val="00252CE3"/>
    <w:rsid w:val="002609F5"/>
    <w:rsid w:val="00265CAA"/>
    <w:rsid w:val="0027375A"/>
    <w:rsid w:val="00275D75"/>
    <w:rsid w:val="0028267F"/>
    <w:rsid w:val="0028367F"/>
    <w:rsid w:val="0029127A"/>
    <w:rsid w:val="0029249F"/>
    <w:rsid w:val="00296456"/>
    <w:rsid w:val="002A00EF"/>
    <w:rsid w:val="002A084F"/>
    <w:rsid w:val="002B1690"/>
    <w:rsid w:val="002B2B5C"/>
    <w:rsid w:val="002C4298"/>
    <w:rsid w:val="002D53AC"/>
    <w:rsid w:val="002D6A98"/>
    <w:rsid w:val="002E053B"/>
    <w:rsid w:val="002E0B29"/>
    <w:rsid w:val="002E3E36"/>
    <w:rsid w:val="002E4A68"/>
    <w:rsid w:val="002E51B8"/>
    <w:rsid w:val="002E613B"/>
    <w:rsid w:val="002F750D"/>
    <w:rsid w:val="002F7781"/>
    <w:rsid w:val="00310420"/>
    <w:rsid w:val="00314E0C"/>
    <w:rsid w:val="003155AB"/>
    <w:rsid w:val="00316558"/>
    <w:rsid w:val="00316C32"/>
    <w:rsid w:val="00320F36"/>
    <w:rsid w:val="00325AC9"/>
    <w:rsid w:val="00325D4D"/>
    <w:rsid w:val="00327B38"/>
    <w:rsid w:val="00333EED"/>
    <w:rsid w:val="0034068C"/>
    <w:rsid w:val="00341F6E"/>
    <w:rsid w:val="00351B2C"/>
    <w:rsid w:val="003566A5"/>
    <w:rsid w:val="00357977"/>
    <w:rsid w:val="0036088D"/>
    <w:rsid w:val="003619EE"/>
    <w:rsid w:val="003623F8"/>
    <w:rsid w:val="00365CF7"/>
    <w:rsid w:val="00366D5C"/>
    <w:rsid w:val="00370F35"/>
    <w:rsid w:val="00371843"/>
    <w:rsid w:val="00372B93"/>
    <w:rsid w:val="00376473"/>
    <w:rsid w:val="003835FB"/>
    <w:rsid w:val="00387A2E"/>
    <w:rsid w:val="00390242"/>
    <w:rsid w:val="003961B5"/>
    <w:rsid w:val="00396D94"/>
    <w:rsid w:val="003A2BE1"/>
    <w:rsid w:val="003A5224"/>
    <w:rsid w:val="003B39F0"/>
    <w:rsid w:val="003B58F6"/>
    <w:rsid w:val="003B5C56"/>
    <w:rsid w:val="003C1C49"/>
    <w:rsid w:val="003C2615"/>
    <w:rsid w:val="003D59E0"/>
    <w:rsid w:val="003E2531"/>
    <w:rsid w:val="003F32EE"/>
    <w:rsid w:val="003F3F7F"/>
    <w:rsid w:val="003F4A0E"/>
    <w:rsid w:val="00400999"/>
    <w:rsid w:val="0041146E"/>
    <w:rsid w:val="0041598A"/>
    <w:rsid w:val="00416278"/>
    <w:rsid w:val="00420FE4"/>
    <w:rsid w:val="0042195C"/>
    <w:rsid w:val="00427FE5"/>
    <w:rsid w:val="00433202"/>
    <w:rsid w:val="00444297"/>
    <w:rsid w:val="00446F38"/>
    <w:rsid w:val="00447816"/>
    <w:rsid w:val="00447DB9"/>
    <w:rsid w:val="00460FDD"/>
    <w:rsid w:val="0046227A"/>
    <w:rsid w:val="004649D6"/>
    <w:rsid w:val="004679F2"/>
    <w:rsid w:val="004706B2"/>
    <w:rsid w:val="0047360D"/>
    <w:rsid w:val="00474DBC"/>
    <w:rsid w:val="004816BB"/>
    <w:rsid w:val="00484726"/>
    <w:rsid w:val="004A7FE3"/>
    <w:rsid w:val="004B0098"/>
    <w:rsid w:val="004B0AD8"/>
    <w:rsid w:val="004B33AA"/>
    <w:rsid w:val="004B673D"/>
    <w:rsid w:val="004C3E7F"/>
    <w:rsid w:val="004C6F2D"/>
    <w:rsid w:val="004D4FD7"/>
    <w:rsid w:val="004E0752"/>
    <w:rsid w:val="004E3E6D"/>
    <w:rsid w:val="004F1F6C"/>
    <w:rsid w:val="004F57D8"/>
    <w:rsid w:val="004F68D2"/>
    <w:rsid w:val="00503275"/>
    <w:rsid w:val="00511926"/>
    <w:rsid w:val="00512385"/>
    <w:rsid w:val="00512888"/>
    <w:rsid w:val="00514355"/>
    <w:rsid w:val="00515B3C"/>
    <w:rsid w:val="00522DA2"/>
    <w:rsid w:val="00535F7E"/>
    <w:rsid w:val="005440D2"/>
    <w:rsid w:val="00546B5D"/>
    <w:rsid w:val="00551593"/>
    <w:rsid w:val="00551ADE"/>
    <w:rsid w:val="00552A9E"/>
    <w:rsid w:val="00557AF9"/>
    <w:rsid w:val="00560DB1"/>
    <w:rsid w:val="005630CC"/>
    <w:rsid w:val="0057414C"/>
    <w:rsid w:val="00574955"/>
    <w:rsid w:val="00574F27"/>
    <w:rsid w:val="00576A66"/>
    <w:rsid w:val="005808BC"/>
    <w:rsid w:val="00587406"/>
    <w:rsid w:val="00590A46"/>
    <w:rsid w:val="00592B73"/>
    <w:rsid w:val="00594C0A"/>
    <w:rsid w:val="00594E95"/>
    <w:rsid w:val="005A3EC3"/>
    <w:rsid w:val="005A77CA"/>
    <w:rsid w:val="005B228F"/>
    <w:rsid w:val="005B3C8F"/>
    <w:rsid w:val="005B4536"/>
    <w:rsid w:val="005B7D3D"/>
    <w:rsid w:val="005C0359"/>
    <w:rsid w:val="005C1920"/>
    <w:rsid w:val="005C7090"/>
    <w:rsid w:val="005D3167"/>
    <w:rsid w:val="005D584B"/>
    <w:rsid w:val="005E10DB"/>
    <w:rsid w:val="005E11D1"/>
    <w:rsid w:val="005E27A7"/>
    <w:rsid w:val="005F0C38"/>
    <w:rsid w:val="005F2FEA"/>
    <w:rsid w:val="005F72E3"/>
    <w:rsid w:val="00601878"/>
    <w:rsid w:val="006034EC"/>
    <w:rsid w:val="006049CC"/>
    <w:rsid w:val="006055C5"/>
    <w:rsid w:val="00605B73"/>
    <w:rsid w:val="0061265A"/>
    <w:rsid w:val="0061323A"/>
    <w:rsid w:val="00613A16"/>
    <w:rsid w:val="0061728D"/>
    <w:rsid w:val="00617422"/>
    <w:rsid w:val="0062788E"/>
    <w:rsid w:val="00632FAE"/>
    <w:rsid w:val="0063525C"/>
    <w:rsid w:val="00636C19"/>
    <w:rsid w:val="00650F43"/>
    <w:rsid w:val="00651EB7"/>
    <w:rsid w:val="00660645"/>
    <w:rsid w:val="00666D9B"/>
    <w:rsid w:val="006725E2"/>
    <w:rsid w:val="00680AA9"/>
    <w:rsid w:val="00681AE7"/>
    <w:rsid w:val="00681EAC"/>
    <w:rsid w:val="006820AF"/>
    <w:rsid w:val="00682B5F"/>
    <w:rsid w:val="00683DC1"/>
    <w:rsid w:val="00687F79"/>
    <w:rsid w:val="00691270"/>
    <w:rsid w:val="00693054"/>
    <w:rsid w:val="006933BE"/>
    <w:rsid w:val="00694B52"/>
    <w:rsid w:val="0069728F"/>
    <w:rsid w:val="006A0C5C"/>
    <w:rsid w:val="006A418C"/>
    <w:rsid w:val="006A53DE"/>
    <w:rsid w:val="006B047E"/>
    <w:rsid w:val="006B04AF"/>
    <w:rsid w:val="006B3F82"/>
    <w:rsid w:val="006B5781"/>
    <w:rsid w:val="006D16D6"/>
    <w:rsid w:val="006D4976"/>
    <w:rsid w:val="006F1CC3"/>
    <w:rsid w:val="006F1E7A"/>
    <w:rsid w:val="006F41FB"/>
    <w:rsid w:val="006F48AC"/>
    <w:rsid w:val="00702AAC"/>
    <w:rsid w:val="0072076C"/>
    <w:rsid w:val="007233E1"/>
    <w:rsid w:val="00724AF3"/>
    <w:rsid w:val="00725637"/>
    <w:rsid w:val="0074430C"/>
    <w:rsid w:val="00746299"/>
    <w:rsid w:val="007503F9"/>
    <w:rsid w:val="00761863"/>
    <w:rsid w:val="00761952"/>
    <w:rsid w:val="00762560"/>
    <w:rsid w:val="0077077D"/>
    <w:rsid w:val="0077105E"/>
    <w:rsid w:val="00774933"/>
    <w:rsid w:val="007763A5"/>
    <w:rsid w:val="00777580"/>
    <w:rsid w:val="00780BA2"/>
    <w:rsid w:val="0078121D"/>
    <w:rsid w:val="00787E38"/>
    <w:rsid w:val="0079228B"/>
    <w:rsid w:val="00793EBE"/>
    <w:rsid w:val="0079508F"/>
    <w:rsid w:val="00795321"/>
    <w:rsid w:val="007978F4"/>
    <w:rsid w:val="007B5634"/>
    <w:rsid w:val="007B56BE"/>
    <w:rsid w:val="007C1304"/>
    <w:rsid w:val="007C19D9"/>
    <w:rsid w:val="007C5B80"/>
    <w:rsid w:val="007D0876"/>
    <w:rsid w:val="007D0F91"/>
    <w:rsid w:val="007E4548"/>
    <w:rsid w:val="007E5962"/>
    <w:rsid w:val="007F229F"/>
    <w:rsid w:val="007F3812"/>
    <w:rsid w:val="00801F1C"/>
    <w:rsid w:val="0080262D"/>
    <w:rsid w:val="008109A0"/>
    <w:rsid w:val="008149C3"/>
    <w:rsid w:val="008168F1"/>
    <w:rsid w:val="00822C7E"/>
    <w:rsid w:val="00823DCD"/>
    <w:rsid w:val="008325DA"/>
    <w:rsid w:val="008335B6"/>
    <w:rsid w:val="00834085"/>
    <w:rsid w:val="00836C6C"/>
    <w:rsid w:val="008426ED"/>
    <w:rsid w:val="00844561"/>
    <w:rsid w:val="00855B7F"/>
    <w:rsid w:val="00857B25"/>
    <w:rsid w:val="00857CBE"/>
    <w:rsid w:val="00862747"/>
    <w:rsid w:val="00864937"/>
    <w:rsid w:val="0087229E"/>
    <w:rsid w:val="0087611E"/>
    <w:rsid w:val="00884BD9"/>
    <w:rsid w:val="00897EAD"/>
    <w:rsid w:val="008A3643"/>
    <w:rsid w:val="008B1336"/>
    <w:rsid w:val="008B5257"/>
    <w:rsid w:val="008B622B"/>
    <w:rsid w:val="008C0EE8"/>
    <w:rsid w:val="008C4A24"/>
    <w:rsid w:val="008D2954"/>
    <w:rsid w:val="008D2B11"/>
    <w:rsid w:val="008D7384"/>
    <w:rsid w:val="008E4099"/>
    <w:rsid w:val="008E4C20"/>
    <w:rsid w:val="008E51A2"/>
    <w:rsid w:val="008E7328"/>
    <w:rsid w:val="008F1B6B"/>
    <w:rsid w:val="00902091"/>
    <w:rsid w:val="0090299E"/>
    <w:rsid w:val="00910D64"/>
    <w:rsid w:val="009121F3"/>
    <w:rsid w:val="00912392"/>
    <w:rsid w:val="00912E90"/>
    <w:rsid w:val="00914086"/>
    <w:rsid w:val="00914D77"/>
    <w:rsid w:val="0091598A"/>
    <w:rsid w:val="00922504"/>
    <w:rsid w:val="00924083"/>
    <w:rsid w:val="00924E81"/>
    <w:rsid w:val="0093405A"/>
    <w:rsid w:val="00934FAC"/>
    <w:rsid w:val="009365B5"/>
    <w:rsid w:val="00941DB0"/>
    <w:rsid w:val="0094361E"/>
    <w:rsid w:val="00946834"/>
    <w:rsid w:val="009473D9"/>
    <w:rsid w:val="009478DF"/>
    <w:rsid w:val="009514BB"/>
    <w:rsid w:val="00951833"/>
    <w:rsid w:val="00963E42"/>
    <w:rsid w:val="0096491B"/>
    <w:rsid w:val="00964F26"/>
    <w:rsid w:val="00970B3B"/>
    <w:rsid w:val="0097136F"/>
    <w:rsid w:val="0097148A"/>
    <w:rsid w:val="0097419E"/>
    <w:rsid w:val="009744AB"/>
    <w:rsid w:val="009745EA"/>
    <w:rsid w:val="00975CBB"/>
    <w:rsid w:val="00990DF0"/>
    <w:rsid w:val="00991970"/>
    <w:rsid w:val="009933FC"/>
    <w:rsid w:val="0099458A"/>
    <w:rsid w:val="00997B5B"/>
    <w:rsid w:val="00997D30"/>
    <w:rsid w:val="009A3695"/>
    <w:rsid w:val="009A4975"/>
    <w:rsid w:val="009A69EA"/>
    <w:rsid w:val="009A73C2"/>
    <w:rsid w:val="009C7767"/>
    <w:rsid w:val="009D2978"/>
    <w:rsid w:val="009D3F84"/>
    <w:rsid w:val="009E06DA"/>
    <w:rsid w:val="009E64F0"/>
    <w:rsid w:val="009E6ED1"/>
    <w:rsid w:val="009E7176"/>
    <w:rsid w:val="009F1683"/>
    <w:rsid w:val="009F4D69"/>
    <w:rsid w:val="00A00280"/>
    <w:rsid w:val="00A05667"/>
    <w:rsid w:val="00A122F8"/>
    <w:rsid w:val="00A14FC5"/>
    <w:rsid w:val="00A16975"/>
    <w:rsid w:val="00A16D32"/>
    <w:rsid w:val="00A20D20"/>
    <w:rsid w:val="00A23A67"/>
    <w:rsid w:val="00A2589A"/>
    <w:rsid w:val="00A26DF3"/>
    <w:rsid w:val="00A27681"/>
    <w:rsid w:val="00A278CC"/>
    <w:rsid w:val="00A33ABE"/>
    <w:rsid w:val="00A443EE"/>
    <w:rsid w:val="00A51048"/>
    <w:rsid w:val="00A52635"/>
    <w:rsid w:val="00A57011"/>
    <w:rsid w:val="00A604EA"/>
    <w:rsid w:val="00A6622D"/>
    <w:rsid w:val="00A73C19"/>
    <w:rsid w:val="00A801BB"/>
    <w:rsid w:val="00A80816"/>
    <w:rsid w:val="00A972EB"/>
    <w:rsid w:val="00AA1D2E"/>
    <w:rsid w:val="00AA20CF"/>
    <w:rsid w:val="00AA4092"/>
    <w:rsid w:val="00AB26F0"/>
    <w:rsid w:val="00AB3C8D"/>
    <w:rsid w:val="00AC1919"/>
    <w:rsid w:val="00AC29F2"/>
    <w:rsid w:val="00AC5575"/>
    <w:rsid w:val="00AD04B8"/>
    <w:rsid w:val="00AD28C8"/>
    <w:rsid w:val="00AD632D"/>
    <w:rsid w:val="00AF0AC0"/>
    <w:rsid w:val="00AF3165"/>
    <w:rsid w:val="00B039C7"/>
    <w:rsid w:val="00B070DA"/>
    <w:rsid w:val="00B114A5"/>
    <w:rsid w:val="00B119F4"/>
    <w:rsid w:val="00B16C98"/>
    <w:rsid w:val="00B21B31"/>
    <w:rsid w:val="00B27377"/>
    <w:rsid w:val="00B4087E"/>
    <w:rsid w:val="00B44DBB"/>
    <w:rsid w:val="00B461B1"/>
    <w:rsid w:val="00B523F3"/>
    <w:rsid w:val="00B548D1"/>
    <w:rsid w:val="00B60575"/>
    <w:rsid w:val="00B60CEA"/>
    <w:rsid w:val="00B63A1F"/>
    <w:rsid w:val="00B64B66"/>
    <w:rsid w:val="00B65A34"/>
    <w:rsid w:val="00B6725E"/>
    <w:rsid w:val="00B7274F"/>
    <w:rsid w:val="00B73BBC"/>
    <w:rsid w:val="00B86B8A"/>
    <w:rsid w:val="00B90734"/>
    <w:rsid w:val="00B9475A"/>
    <w:rsid w:val="00BA17A5"/>
    <w:rsid w:val="00BA4323"/>
    <w:rsid w:val="00BA5F60"/>
    <w:rsid w:val="00BA76D0"/>
    <w:rsid w:val="00BB1385"/>
    <w:rsid w:val="00BB375F"/>
    <w:rsid w:val="00BB5A48"/>
    <w:rsid w:val="00BB66F2"/>
    <w:rsid w:val="00BB6C49"/>
    <w:rsid w:val="00BC5710"/>
    <w:rsid w:val="00BD082C"/>
    <w:rsid w:val="00BD2B50"/>
    <w:rsid w:val="00BD6EEE"/>
    <w:rsid w:val="00BD7490"/>
    <w:rsid w:val="00BE0607"/>
    <w:rsid w:val="00BE0859"/>
    <w:rsid w:val="00BE6684"/>
    <w:rsid w:val="00BE793C"/>
    <w:rsid w:val="00BF0E8F"/>
    <w:rsid w:val="00BF160D"/>
    <w:rsid w:val="00BF27FB"/>
    <w:rsid w:val="00BF5CC6"/>
    <w:rsid w:val="00BF715E"/>
    <w:rsid w:val="00BF7F55"/>
    <w:rsid w:val="00C00DC5"/>
    <w:rsid w:val="00C0155B"/>
    <w:rsid w:val="00C016BD"/>
    <w:rsid w:val="00C04574"/>
    <w:rsid w:val="00C06E5F"/>
    <w:rsid w:val="00C10AE1"/>
    <w:rsid w:val="00C10F59"/>
    <w:rsid w:val="00C14915"/>
    <w:rsid w:val="00C164D1"/>
    <w:rsid w:val="00C170AC"/>
    <w:rsid w:val="00C24951"/>
    <w:rsid w:val="00C32A96"/>
    <w:rsid w:val="00C430D1"/>
    <w:rsid w:val="00C47F4A"/>
    <w:rsid w:val="00C5168C"/>
    <w:rsid w:val="00C52DEA"/>
    <w:rsid w:val="00C54DB1"/>
    <w:rsid w:val="00C55369"/>
    <w:rsid w:val="00C60DAC"/>
    <w:rsid w:val="00C71D38"/>
    <w:rsid w:val="00C71E1E"/>
    <w:rsid w:val="00C7222A"/>
    <w:rsid w:val="00C80908"/>
    <w:rsid w:val="00C81C04"/>
    <w:rsid w:val="00C85C22"/>
    <w:rsid w:val="00C85E28"/>
    <w:rsid w:val="00C915BE"/>
    <w:rsid w:val="00C9358B"/>
    <w:rsid w:val="00CA2F59"/>
    <w:rsid w:val="00CA4BD4"/>
    <w:rsid w:val="00CA6B6C"/>
    <w:rsid w:val="00CB134D"/>
    <w:rsid w:val="00CB2709"/>
    <w:rsid w:val="00CB6CAF"/>
    <w:rsid w:val="00CC18B1"/>
    <w:rsid w:val="00CC62D0"/>
    <w:rsid w:val="00CD3F24"/>
    <w:rsid w:val="00CD4CF7"/>
    <w:rsid w:val="00CD4FA3"/>
    <w:rsid w:val="00CE3AA9"/>
    <w:rsid w:val="00CF0296"/>
    <w:rsid w:val="00D00F72"/>
    <w:rsid w:val="00D11BFF"/>
    <w:rsid w:val="00D12123"/>
    <w:rsid w:val="00D1328A"/>
    <w:rsid w:val="00D2044F"/>
    <w:rsid w:val="00D22581"/>
    <w:rsid w:val="00D30E38"/>
    <w:rsid w:val="00D3198F"/>
    <w:rsid w:val="00D32C43"/>
    <w:rsid w:val="00D447A4"/>
    <w:rsid w:val="00D46902"/>
    <w:rsid w:val="00D614D0"/>
    <w:rsid w:val="00D61ADC"/>
    <w:rsid w:val="00D62326"/>
    <w:rsid w:val="00D67D1D"/>
    <w:rsid w:val="00D70B65"/>
    <w:rsid w:val="00D70BE1"/>
    <w:rsid w:val="00D7789F"/>
    <w:rsid w:val="00D8159D"/>
    <w:rsid w:val="00D819E3"/>
    <w:rsid w:val="00D81F58"/>
    <w:rsid w:val="00D823C2"/>
    <w:rsid w:val="00D85419"/>
    <w:rsid w:val="00D85B4C"/>
    <w:rsid w:val="00D94095"/>
    <w:rsid w:val="00D94FDF"/>
    <w:rsid w:val="00D97CC5"/>
    <w:rsid w:val="00DA00C4"/>
    <w:rsid w:val="00DB28F2"/>
    <w:rsid w:val="00DB500A"/>
    <w:rsid w:val="00DB71F4"/>
    <w:rsid w:val="00DC0517"/>
    <w:rsid w:val="00DC790E"/>
    <w:rsid w:val="00DC7CC8"/>
    <w:rsid w:val="00DD2A0F"/>
    <w:rsid w:val="00DD3F5F"/>
    <w:rsid w:val="00DE1B8B"/>
    <w:rsid w:val="00DE4691"/>
    <w:rsid w:val="00DF0EBB"/>
    <w:rsid w:val="00DF5F9F"/>
    <w:rsid w:val="00DF7271"/>
    <w:rsid w:val="00E0155E"/>
    <w:rsid w:val="00E016C3"/>
    <w:rsid w:val="00E04935"/>
    <w:rsid w:val="00E161C0"/>
    <w:rsid w:val="00E21128"/>
    <w:rsid w:val="00E22CA8"/>
    <w:rsid w:val="00E250F2"/>
    <w:rsid w:val="00E2521D"/>
    <w:rsid w:val="00E25FFB"/>
    <w:rsid w:val="00E32259"/>
    <w:rsid w:val="00E5610D"/>
    <w:rsid w:val="00E564E7"/>
    <w:rsid w:val="00E61147"/>
    <w:rsid w:val="00E62F02"/>
    <w:rsid w:val="00E64FEF"/>
    <w:rsid w:val="00E6512C"/>
    <w:rsid w:val="00E6588F"/>
    <w:rsid w:val="00E70929"/>
    <w:rsid w:val="00E71479"/>
    <w:rsid w:val="00E7394D"/>
    <w:rsid w:val="00E74CBC"/>
    <w:rsid w:val="00E751F3"/>
    <w:rsid w:val="00E926F8"/>
    <w:rsid w:val="00EB1448"/>
    <w:rsid w:val="00EC0824"/>
    <w:rsid w:val="00ED056C"/>
    <w:rsid w:val="00EF28A3"/>
    <w:rsid w:val="00EF3F94"/>
    <w:rsid w:val="00EF72F7"/>
    <w:rsid w:val="00F01AE9"/>
    <w:rsid w:val="00F05137"/>
    <w:rsid w:val="00F100F2"/>
    <w:rsid w:val="00F10E22"/>
    <w:rsid w:val="00F12CE4"/>
    <w:rsid w:val="00F12EA8"/>
    <w:rsid w:val="00F14BEF"/>
    <w:rsid w:val="00F15757"/>
    <w:rsid w:val="00F2238B"/>
    <w:rsid w:val="00F23468"/>
    <w:rsid w:val="00F40163"/>
    <w:rsid w:val="00F4729A"/>
    <w:rsid w:val="00F50E5E"/>
    <w:rsid w:val="00F64E2C"/>
    <w:rsid w:val="00F659DC"/>
    <w:rsid w:val="00F6777C"/>
    <w:rsid w:val="00F876AF"/>
    <w:rsid w:val="00F9240C"/>
    <w:rsid w:val="00F92F80"/>
    <w:rsid w:val="00F94795"/>
    <w:rsid w:val="00FA019E"/>
    <w:rsid w:val="00FA37D5"/>
    <w:rsid w:val="00FA5582"/>
    <w:rsid w:val="00FB17C4"/>
    <w:rsid w:val="00FB1F24"/>
    <w:rsid w:val="00FB4AE5"/>
    <w:rsid w:val="00FB576B"/>
    <w:rsid w:val="00FC2DAF"/>
    <w:rsid w:val="00FD0B7A"/>
    <w:rsid w:val="00FD67AB"/>
    <w:rsid w:val="00FE268A"/>
    <w:rsid w:val="00FE54ED"/>
    <w:rsid w:val="00FF2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B04E8-C2F5-4C6C-9F37-E1C2B672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DAF"/>
  </w:style>
  <w:style w:type="paragraph" w:styleId="Footer">
    <w:name w:val="footer"/>
    <w:basedOn w:val="Normal"/>
    <w:link w:val="FooterChar"/>
    <w:uiPriority w:val="99"/>
    <w:unhideWhenUsed/>
    <w:rsid w:val="00FC2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DAF"/>
  </w:style>
  <w:style w:type="character" w:styleId="Hyperlink">
    <w:name w:val="Hyperlink"/>
    <w:basedOn w:val="DefaultParagraphFont"/>
    <w:uiPriority w:val="99"/>
    <w:unhideWhenUsed/>
    <w:rsid w:val="002E053B"/>
    <w:rPr>
      <w:color w:val="0563C1" w:themeColor="hyperlink"/>
      <w:u w:val="single"/>
    </w:rPr>
  </w:style>
  <w:style w:type="paragraph" w:styleId="EndnoteText">
    <w:name w:val="endnote text"/>
    <w:basedOn w:val="Normal"/>
    <w:link w:val="EndnoteTextChar"/>
    <w:uiPriority w:val="99"/>
    <w:semiHidden/>
    <w:unhideWhenUsed/>
    <w:rsid w:val="00822C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2C7E"/>
    <w:rPr>
      <w:sz w:val="20"/>
      <w:szCs w:val="20"/>
    </w:rPr>
  </w:style>
  <w:style w:type="character" w:styleId="EndnoteReference">
    <w:name w:val="endnote reference"/>
    <w:basedOn w:val="DefaultParagraphFont"/>
    <w:uiPriority w:val="99"/>
    <w:semiHidden/>
    <w:unhideWhenUsed/>
    <w:rsid w:val="00822C7E"/>
    <w:rPr>
      <w:vertAlign w:val="superscript"/>
    </w:rPr>
  </w:style>
  <w:style w:type="character" w:customStyle="1" w:styleId="apple-converted-space">
    <w:name w:val="apple-converted-space"/>
    <w:basedOn w:val="DefaultParagraphFont"/>
    <w:rsid w:val="00822C7E"/>
  </w:style>
  <w:style w:type="paragraph" w:styleId="FootnoteText">
    <w:name w:val="footnote text"/>
    <w:basedOn w:val="Normal"/>
    <w:link w:val="FootnoteTextChar"/>
    <w:uiPriority w:val="99"/>
    <w:semiHidden/>
    <w:unhideWhenUsed/>
    <w:rsid w:val="00BB6C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6C49"/>
    <w:rPr>
      <w:sz w:val="20"/>
      <w:szCs w:val="20"/>
    </w:rPr>
  </w:style>
  <w:style w:type="character" w:styleId="FootnoteReference">
    <w:name w:val="footnote reference"/>
    <w:basedOn w:val="DefaultParagraphFont"/>
    <w:uiPriority w:val="99"/>
    <w:semiHidden/>
    <w:unhideWhenUsed/>
    <w:rsid w:val="00BB6C49"/>
    <w:rPr>
      <w:vertAlign w:val="superscript"/>
    </w:rPr>
  </w:style>
  <w:style w:type="character" w:customStyle="1" w:styleId="citationtext">
    <w:name w:val="citation_text"/>
    <w:basedOn w:val="DefaultParagraphFont"/>
    <w:rsid w:val="00060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581628">
      <w:bodyDiv w:val="1"/>
      <w:marLeft w:val="0"/>
      <w:marRight w:val="0"/>
      <w:marTop w:val="0"/>
      <w:marBottom w:val="0"/>
      <w:divBdr>
        <w:top w:val="none" w:sz="0" w:space="0" w:color="auto"/>
        <w:left w:val="none" w:sz="0" w:space="0" w:color="auto"/>
        <w:bottom w:val="none" w:sz="0" w:space="0" w:color="auto"/>
        <w:right w:val="none" w:sz="0" w:space="0" w:color="auto"/>
      </w:divBdr>
      <w:divsChild>
        <w:div w:id="768039385">
          <w:marLeft w:val="60"/>
          <w:marRight w:val="0"/>
          <w:marTop w:val="0"/>
          <w:marBottom w:val="0"/>
          <w:divBdr>
            <w:top w:val="none" w:sz="0" w:space="0" w:color="auto"/>
            <w:left w:val="none" w:sz="0" w:space="0" w:color="auto"/>
            <w:bottom w:val="none" w:sz="0" w:space="0" w:color="auto"/>
            <w:right w:val="none" w:sz="0" w:space="0" w:color="auto"/>
          </w:divBdr>
        </w:div>
        <w:div w:id="1881432639">
          <w:marLeft w:val="60"/>
          <w:marRight w:val="0"/>
          <w:marTop w:val="0"/>
          <w:marBottom w:val="0"/>
          <w:divBdr>
            <w:top w:val="none" w:sz="0" w:space="0" w:color="auto"/>
            <w:left w:val="none" w:sz="0" w:space="0" w:color="auto"/>
            <w:bottom w:val="none" w:sz="0" w:space="0" w:color="auto"/>
            <w:right w:val="none" w:sz="0" w:space="0" w:color="auto"/>
          </w:divBdr>
        </w:div>
        <w:div w:id="775712581">
          <w:marLeft w:val="60"/>
          <w:marRight w:val="0"/>
          <w:marTop w:val="0"/>
          <w:marBottom w:val="0"/>
          <w:divBdr>
            <w:top w:val="none" w:sz="0" w:space="0" w:color="auto"/>
            <w:left w:val="none" w:sz="0" w:space="0" w:color="auto"/>
            <w:bottom w:val="none" w:sz="0" w:space="0" w:color="auto"/>
            <w:right w:val="none" w:sz="0" w:space="0" w:color="auto"/>
          </w:divBdr>
        </w:div>
        <w:div w:id="1249732566">
          <w:marLeft w:val="60"/>
          <w:marRight w:val="0"/>
          <w:marTop w:val="0"/>
          <w:marBottom w:val="0"/>
          <w:divBdr>
            <w:top w:val="none" w:sz="0" w:space="0" w:color="auto"/>
            <w:left w:val="none" w:sz="0" w:space="0" w:color="auto"/>
            <w:bottom w:val="none" w:sz="0" w:space="0" w:color="auto"/>
            <w:right w:val="none" w:sz="0" w:space="0" w:color="auto"/>
          </w:divBdr>
        </w:div>
        <w:div w:id="391512095">
          <w:marLeft w:val="60"/>
          <w:marRight w:val="0"/>
          <w:marTop w:val="0"/>
          <w:marBottom w:val="0"/>
          <w:divBdr>
            <w:top w:val="none" w:sz="0" w:space="0" w:color="auto"/>
            <w:left w:val="none" w:sz="0" w:space="0" w:color="auto"/>
            <w:bottom w:val="none" w:sz="0" w:space="0" w:color="auto"/>
            <w:right w:val="none" w:sz="0" w:space="0" w:color="auto"/>
          </w:divBdr>
        </w:div>
      </w:divsChild>
    </w:div>
    <w:div w:id="930552385">
      <w:bodyDiv w:val="1"/>
      <w:marLeft w:val="0"/>
      <w:marRight w:val="0"/>
      <w:marTop w:val="0"/>
      <w:marBottom w:val="0"/>
      <w:divBdr>
        <w:top w:val="none" w:sz="0" w:space="0" w:color="auto"/>
        <w:left w:val="none" w:sz="0" w:space="0" w:color="auto"/>
        <w:bottom w:val="none" w:sz="0" w:space="0" w:color="auto"/>
        <w:right w:val="none" w:sz="0" w:space="0" w:color="auto"/>
      </w:divBdr>
    </w:div>
    <w:div w:id="131671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ff.org/uninsured/fact-sheet/key-facts-about-the-uninsured-popula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www.healthaffairs.org/1410i_for_authors_prep_and_re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EBD64-93AE-45BE-9BDC-52CB2A245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2371</Words>
  <Characters>13518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Stubbs</dc:creator>
  <cp:keywords/>
  <dc:description/>
  <cp:lastModifiedBy>Rebecca Stubbs</cp:lastModifiedBy>
  <cp:revision>2</cp:revision>
  <dcterms:created xsi:type="dcterms:W3CDTF">2017-05-01T03:13:00Z</dcterms:created>
  <dcterms:modified xsi:type="dcterms:W3CDTF">2017-05-01T03:13:00Z</dcterms:modified>
</cp:coreProperties>
</file>